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1 Review: Core Wallet &amp; Payment Processing</w:t>
      </w:r>
    </w:p>
    <w:p>
      <w:r>
        <w:t>Phase 10 Deliverable: Scrum Metrics - 24CYS401 Lab Examination</w:t>
      </w:r>
    </w:p>
    <w:p>
      <w:pPr>
        <w:pStyle w:val="Heading1"/>
      </w:pPr>
      <w:r>
        <w:t>1. Sprint Goal &amp; Scope</w:t>
      </w:r>
    </w:p>
    <w:p>
      <w:r>
        <w:t>Goal: Build secure core wallet and payment functionality with baseline transaction integrity.</w:t>
      </w:r>
    </w:p>
    <w:p>
      <w:pPr>
        <w:pStyle w:val="Heading1"/>
      </w:pPr>
      <w:r>
        <w:t>2. Velocity &amp; Completion Summary</w:t>
      </w:r>
    </w:p>
    <w:p>
      <w:r>
        <w:t>• Committed Story Points: 26 SP across 5 Stories and 1 Defect.</w:t>
        <w:br/>
        <w:t>• Completed Story Points: 21 SP (Stories DWPG-10, 11, 12, 13, 14).</w:t>
        <w:br/>
        <w:t>• Incomplete / Carried Over: 5 SP (Defect DWPG-15 / DEF-001).</w:t>
        <w:br/>
        <w:t>• Velocity Achieved: 21 Story Points.</w:t>
      </w:r>
    </w:p>
    <w:p>
      <w:pPr>
        <w:pStyle w:val="Heading1"/>
      </w:pPr>
      <w:r>
        <w:t>3. Key Achievements &amp; Demonstrations</w:t>
      </w:r>
    </w:p>
    <w:p>
      <w:r>
        <w:t>1. Functional user registration and stateless JWT login.</w:t>
        <w:br/>
        <w:t>2. Automatic digital wallet provisioning with zero balance.</w:t>
        <w:br/>
        <w:t>3. Simulated funds deposit endpoint.</w:t>
        <w:br/>
        <w:t>4. Merchant profile onboarding.</w:t>
        <w:br/>
        <w:t>5. Atomic payment processing baseline.</w:t>
      </w:r>
    </w:p>
    <w:p>
      <w:pPr>
        <w:pStyle w:val="Heading1"/>
      </w:pPr>
      <w:r>
        <w:t>4. Sprint 1 Defect Analysis (DEF-001)</w:t>
      </w:r>
    </w:p>
    <w:p>
      <w:r>
        <w:t>During concurrency testing on Day 8, rapid simultaneous payments resulted in a double-spend condition. The team decided not to apply a superficial hotfix, but rather carry DEF-001 into Sprint 2 to implement robust database-level pessimistic locking and RFC-compliant idempotency.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02C5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