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Architecture &amp; Design Engineering Document</w:t>
      </w:r>
    </w:p>
    <w:p>
      <w:r>
        <w:t>Phase 5 Deliverable: Architecture Engineering - 24CYS401 Lab Examination</w:t>
      </w:r>
    </w:p>
    <w:p>
      <w:pPr>
        <w:pStyle w:val="Heading1"/>
      </w:pPr>
      <w:r>
        <w:t>1. Architectural Style &amp; Layered Model</w:t>
      </w:r>
    </w:p>
    <w:p>
      <w:r>
        <w:t>The Digital Wallet and Payment Gateway Simulator (DWPG) implements a Layered Defense-in-Depth Architecture. Strict separation of concerns ensures that transport protocols (HTTP REST) do not leak into core transactional domain logic, and persistence invariants (ACID isolation, locking) are decoupled from service orchestration.</w:t>
      </w:r>
    </w:p>
    <w:p>
      <w:pPr>
        <w:pStyle w:val="Heading1"/>
      </w:pPr>
      <w:r>
        <w:t>2. Concrete Component Mapping</w:t>
      </w:r>
    </w:p>
    <w:tbl>
      <w:tblPr>
        <w:tblW w:type="auto" w:w="0"/>
        <w:jc w:val="center"/>
        <w:tblLook w:firstColumn="1" w:firstRow="1" w:lastColumn="0" w:lastRow="0" w:noHBand="0" w:noVBand="1" w:val="04A0"/>
      </w:tblPr>
      <w:tblGrid>
        <w:gridCol w:w="3120"/>
        <w:gridCol w:w="3120"/>
        <w:gridCol w:w="3120"/>
      </w:tblGrid>
      <w:tr>
        <w:tc>
          <w:tcPr>
            <w:tcW w:type="dxa" w:w="3120"/>
            <w:shd w:fill="1A365D"/>
          </w:tcPr>
          <w:p>
            <w:r>
              <w:rPr>
                <w:b/>
                <w:color w:val="FFFFFF"/>
              </w:rPr>
              <w:t>Subsystem / Domain</w:t>
            </w:r>
          </w:p>
        </w:tc>
        <w:tc>
          <w:tcPr>
            <w:tcW w:type="dxa" w:w="3120"/>
            <w:shd w:fill="1A365D"/>
          </w:tcPr>
          <w:p>
            <w:r>
              <w:rPr>
                <w:b/>
                <w:color w:val="FFFFFF"/>
              </w:rPr>
              <w:t>Component Name</w:t>
            </w:r>
          </w:p>
        </w:tc>
        <w:tc>
          <w:tcPr>
            <w:tcW w:type="dxa" w:w="3120"/>
            <w:shd w:fill="1A365D"/>
          </w:tcPr>
          <w:p>
            <w:r>
              <w:rPr>
                <w:b/>
                <w:color w:val="FFFFFF"/>
              </w:rPr>
              <w:t>Architectural Responsibility &amp; Security Controls</w:t>
            </w:r>
          </w:p>
        </w:tc>
      </w:tr>
      <w:tr>
        <w:tc>
          <w:tcPr>
            <w:tcW w:type="dxa" w:w="3120"/>
          </w:tcPr>
          <w:p>
            <w:r>
              <w:rPr>
                <w:sz w:val="19"/>
              </w:rPr>
              <w:t>Presentation</w:t>
            </w:r>
          </w:p>
        </w:tc>
        <w:tc>
          <w:tcPr>
            <w:tcW w:type="dxa" w:w="3120"/>
          </w:tcPr>
          <w:p>
            <w:r>
              <w:rPr>
                <w:sz w:val="19"/>
              </w:rPr>
              <w:t>React 18 SPA (Vite)</w:t>
            </w:r>
          </w:p>
        </w:tc>
        <w:tc>
          <w:tcPr>
            <w:tcW w:type="dxa" w:w="3120"/>
          </w:tcPr>
          <w:p>
            <w:r>
              <w:rPr>
                <w:sz w:val="19"/>
              </w:rPr>
              <w:t>Client view model, input sanitization, JWT authorization header injection, user dashboard.</w:t>
            </w:r>
          </w:p>
        </w:tc>
      </w:tr>
      <w:tr>
        <w:tc>
          <w:tcPr>
            <w:tcW w:type="dxa" w:w="3120"/>
          </w:tcPr>
          <w:p>
            <w:r>
              <w:rPr>
                <w:sz w:val="19"/>
              </w:rPr>
              <w:t>API Gateway</w:t>
            </w:r>
          </w:p>
        </w:tc>
        <w:tc>
          <w:tcPr>
            <w:tcW w:type="dxa" w:w="3120"/>
          </w:tcPr>
          <w:p>
            <w:r>
              <w:rPr>
                <w:sz w:val="19"/>
              </w:rPr>
              <w:t>Spring Security Filter Chain</w:t>
            </w:r>
          </w:p>
        </w:tc>
        <w:tc>
          <w:tcPr>
            <w:tcW w:type="dxa" w:w="3120"/>
          </w:tcPr>
          <w:p>
            <w:r>
              <w:rPr>
                <w:sz w:val="19"/>
              </w:rPr>
              <w:t>TLS termination, JwtAuthenticationFilter, IdempotencyFilter (SHA-256 validation), RateLimiting.</w:t>
            </w:r>
          </w:p>
        </w:tc>
      </w:tr>
      <w:tr>
        <w:tc>
          <w:tcPr>
            <w:tcW w:type="dxa" w:w="3120"/>
          </w:tcPr>
          <w:p>
            <w:r>
              <w:rPr>
                <w:sz w:val="19"/>
              </w:rPr>
              <w:t>Authentication</w:t>
            </w:r>
          </w:p>
        </w:tc>
        <w:tc>
          <w:tcPr>
            <w:tcW w:type="dxa" w:w="3120"/>
          </w:tcPr>
          <w:p>
            <w:r>
              <w:rPr>
                <w:sz w:val="19"/>
              </w:rPr>
              <w:t>AuthService &amp; JwtProvider</w:t>
            </w:r>
          </w:p>
        </w:tc>
        <w:tc>
          <w:tcPr>
            <w:tcW w:type="dxa" w:w="3120"/>
          </w:tcPr>
          <w:p>
            <w:r>
              <w:rPr>
                <w:sz w:val="19"/>
              </w:rPr>
              <w:t>BCrypt password hashing (factor 12), stateless JWT generation and validation, generic error responses.</w:t>
            </w:r>
          </w:p>
        </w:tc>
      </w:tr>
      <w:tr>
        <w:tc>
          <w:tcPr>
            <w:tcW w:type="dxa" w:w="3120"/>
          </w:tcPr>
          <w:p>
            <w:r>
              <w:rPr>
                <w:sz w:val="19"/>
              </w:rPr>
              <w:t>Wallet Management</w:t>
            </w:r>
          </w:p>
        </w:tc>
        <w:tc>
          <w:tcPr>
            <w:tcW w:type="dxa" w:w="3120"/>
          </w:tcPr>
          <w:p>
            <w:r>
              <w:rPr>
                <w:sz w:val="19"/>
              </w:rPr>
              <w:t>WalletService &amp; Repository</w:t>
            </w:r>
          </w:p>
        </w:tc>
        <w:tc>
          <w:tcPr>
            <w:tcW w:type="dxa" w:w="3120"/>
          </w:tcPr>
          <w:p>
            <w:r>
              <w:rPr>
                <w:sz w:val="19"/>
              </w:rPr>
              <w:t>Enforces balance invariants, applies SELECT FOR UPDATE (Pessimistic Locking), prevents double spending.</w:t>
            </w:r>
          </w:p>
        </w:tc>
      </w:tr>
      <w:tr>
        <w:tc>
          <w:tcPr>
            <w:tcW w:type="dxa" w:w="3120"/>
          </w:tcPr>
          <w:p>
            <w:r>
              <w:rPr>
                <w:sz w:val="19"/>
              </w:rPr>
              <w:t>Payment Processing</w:t>
            </w:r>
          </w:p>
        </w:tc>
        <w:tc>
          <w:tcPr>
            <w:tcW w:type="dxa" w:w="3120"/>
          </w:tcPr>
          <w:p>
            <w:r>
              <w:rPr>
                <w:sz w:val="19"/>
              </w:rPr>
              <w:t>PaymentService &amp; FSM</w:t>
            </w:r>
          </w:p>
        </w:tc>
        <w:tc>
          <w:tcPr>
            <w:tcW w:type="dxa" w:w="3120"/>
          </w:tcPr>
          <w:p>
            <w:r>
              <w:rPr>
                <w:sz w:val="19"/>
              </w:rPr>
              <w:t>Atomic orchestration of payment lifecycle (INITIATED -&gt; CONFIRMED -&gt; FAILED -&gt; REFUNDED).</w:t>
            </w:r>
          </w:p>
        </w:tc>
      </w:tr>
      <w:tr>
        <w:tc>
          <w:tcPr>
            <w:tcW w:type="dxa" w:w="3120"/>
          </w:tcPr>
          <w:p>
            <w:r>
              <w:rPr>
                <w:sz w:val="19"/>
              </w:rPr>
              <w:t>Merchant Operations</w:t>
            </w:r>
          </w:p>
        </w:tc>
        <w:tc>
          <w:tcPr>
            <w:tcW w:type="dxa" w:w="3120"/>
          </w:tcPr>
          <w:p>
            <w:r>
              <w:rPr>
                <w:sz w:val="19"/>
              </w:rPr>
              <w:t>MerchantService</w:t>
            </w:r>
          </w:p>
        </w:tc>
        <w:tc>
          <w:tcPr>
            <w:tcW w:type="dxa" w:w="3120"/>
          </w:tcPr>
          <w:p>
            <w:r>
              <w:rPr>
                <w:sz w:val="19"/>
              </w:rPr>
              <w:t>Merchant profile registration, API credentials verification, merchant settlement balance management.</w:t>
            </w:r>
          </w:p>
        </w:tc>
      </w:tr>
      <w:tr>
        <w:tc>
          <w:tcPr>
            <w:tcW w:type="dxa" w:w="3120"/>
          </w:tcPr>
          <w:p>
            <w:r>
              <w:rPr>
                <w:sz w:val="19"/>
              </w:rPr>
              <w:t>Refunds</w:t>
            </w:r>
          </w:p>
        </w:tc>
        <w:tc>
          <w:tcPr>
            <w:tcW w:type="dxa" w:w="3120"/>
          </w:tcPr>
          <w:p>
            <w:r>
              <w:rPr>
                <w:sz w:val="19"/>
              </w:rPr>
              <w:t>RefundService</w:t>
            </w:r>
          </w:p>
        </w:tc>
        <w:tc>
          <w:tcPr>
            <w:tcW w:type="dxa" w:w="3120"/>
          </w:tcPr>
          <w:p>
            <w:r>
              <w:rPr>
                <w:sz w:val="19"/>
              </w:rPr>
              <w:t>Validates payment state == CONFIRMED, prevents duplicate refunds, reverses ledger balances atomically.</w:t>
            </w:r>
          </w:p>
        </w:tc>
      </w:tr>
      <w:tr>
        <w:tc>
          <w:tcPr>
            <w:tcW w:type="dxa" w:w="3120"/>
          </w:tcPr>
          <w:p>
            <w:r>
              <w:rPr>
                <w:sz w:val="19"/>
              </w:rPr>
              <w:t>Audit Subsystem</w:t>
            </w:r>
          </w:p>
        </w:tc>
        <w:tc>
          <w:tcPr>
            <w:tcW w:type="dxa" w:w="3120"/>
          </w:tcPr>
          <w:p>
            <w:r>
              <w:rPr>
                <w:sz w:val="19"/>
              </w:rPr>
              <w:t>AuditService &amp; AuditLogRepo</w:t>
            </w:r>
          </w:p>
        </w:tc>
        <w:tc>
          <w:tcPr>
            <w:tcW w:type="dxa" w:w="3120"/>
          </w:tcPr>
          <w:p>
            <w:r>
              <w:rPr>
                <w:sz w:val="19"/>
              </w:rPr>
              <w:t>Immutable, append-only security log recording 12 event types with sensitive parameter scrubbing.</w:t>
            </w:r>
          </w:p>
        </w:tc>
      </w:tr>
      <w:tr>
        <w:tc>
          <w:tcPr>
            <w:tcW w:type="dxa" w:w="3120"/>
          </w:tcPr>
          <w:p>
            <w:r>
              <w:rPr>
                <w:sz w:val="19"/>
              </w:rPr>
              <w:t>Persistence</w:t>
            </w:r>
          </w:p>
        </w:tc>
        <w:tc>
          <w:tcPr>
            <w:tcW w:type="dxa" w:w="3120"/>
          </w:tcPr>
          <w:p>
            <w:r>
              <w:rPr>
                <w:sz w:val="19"/>
              </w:rPr>
              <w:t>MariaDB / Hibernate</w:t>
            </w:r>
          </w:p>
        </w:tc>
        <w:tc>
          <w:tcPr>
            <w:tcW w:type="dxa" w:w="3120"/>
          </w:tcPr>
          <w:p>
            <w:r>
              <w:rPr>
                <w:sz w:val="19"/>
              </w:rPr>
              <w:t>ACID transactions, READ_COMMITTED isolation, foreign keys, database check constraints (balance &gt;= 0).</w:t>
            </w:r>
          </w:p>
        </w:tc>
      </w:tr>
    </w:tbl>
    <w:p>
      <w:pPr>
        <w:pStyle w:val="Heading1"/>
      </w:pPr>
      <w:r>
        <w:t>3. Design Patterns Applied</w:t>
      </w:r>
    </w:p>
    <w:p>
      <w:r>
        <w:rPr>
          <w:b/>
        </w:rPr>
        <w:t xml:space="preserve">• Repository Pattern: </w:t>
      </w:r>
      <w:r>
        <w:t>Decouples business logic from persistence queries via Spring Data JPA interfaces (e.g., WalletRepository, PaymentRepository).</w:t>
      </w:r>
    </w:p>
    <w:p>
      <w:r>
        <w:rPr>
          <w:b/>
        </w:rPr>
        <w:t xml:space="preserve">• Service Layer Pattern: </w:t>
      </w:r>
      <w:r>
        <w:t>Encapsulates application workflow and transaction boundaries within dedicated services (e.g., PaymentService, RefundService).</w:t>
      </w:r>
    </w:p>
    <w:p>
      <w:r>
        <w:rPr>
          <w:b/>
        </w:rPr>
        <w:t xml:space="preserve">• Data Transfer Object (DTO) Pattern: </w:t>
      </w:r>
      <w:r>
        <w:t>Isolates internal database entities from external API contracts, thwarting mass-assignment vulnerabilities.</w:t>
      </w:r>
    </w:p>
    <w:p>
      <w:r>
        <w:rPr>
          <w:b/>
        </w:rPr>
        <w:t xml:space="preserve">• Factory &amp; Strategy Pattern: </w:t>
      </w:r>
      <w:r>
        <w:t>Used in AuditService to dynamically instantiate event structures based on AuditEventType and severity.</w:t>
      </w:r>
    </w:p>
    <w:p>
      <w:r>
        <w:rPr>
          <w:b/>
        </w:rPr>
        <w:t xml:space="preserve">• Dependency Injection: </w:t>
      </w:r>
      <w:r>
        <w:t>Leverages Spring IoC container for loose coupling, modularity, and testability across all controllers and services.</w:t>
      </w:r>
    </w:p>
    <w:p>
      <w:r>
        <w:rPr>
          <w:b/>
        </w:rPr>
        <w:t xml:space="preserve">• Transactional Boundary Pattern: </w:t>
      </w:r>
      <w:r>
        <w:t>Enforces atomic rollback semantics using @Transactional(isolation = Isolation.READ_COMMITTED).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02C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