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E3A8A"/>
          <w:sz w:val="48"/>
        </w:rPr>
        <w:t>DIGITAL WALLET AND PAYMENT GATEWAY SIMULATOR</w:t>
        <w:br/>
        <w:t>(DWPG SIMULATOR)</w:t>
      </w:r>
    </w:p>
    <w:p>
      <w:pPr>
        <w:jc w:val="center"/>
      </w:pPr>
      <w:r>
        <w:rPr>
          <w:rFonts w:ascii="Arial" w:hAnsi="Arial"/>
          <w:i/>
          <w:color w:val="475569"/>
          <w:sz w:val="26"/>
        </w:rPr>
        <w:t>Comprehensive End-Semester Laboratory Examination Master Technical Dossier</w:t>
        <w:br/>
        <w:t>Course: 24CYS401 Secure Software Engineering | Examination Session 2026</w:t>
      </w:r>
    </w:p>
    <w:p/>
    <w:tbl>
      <w:tblPr>
        <w:tblW w:type="auto" w:w="0"/>
        <w:jc w:val="center"/>
        <w:tblLook w:firstColumn="1" w:firstRow="1" w:lastColumn="0" w:lastRow="0" w:noHBand="0" w:noVBand="1" w:val="04A0"/>
      </w:tblPr>
      <w:tblGrid>
        <w:gridCol w:w="4680"/>
        <w:gridCol w:w="4680"/>
      </w:tblGrid>
      <w:tr>
        <w:tc>
          <w:tcPr>
            <w:tcW w:type="dxa" w:w="3312"/>
            <w:shd w:val="clear" w:color="auto" w:fill="F1F5F9"/>
          </w:tcPr>
          <w:p>
            <w:r>
              <w:rPr>
                <w:b/>
                <w:sz w:val="19"/>
              </w:rPr>
              <w:t>Candidate Name / GitHub</w:t>
            </w:r>
          </w:p>
        </w:tc>
        <w:tc>
          <w:tcPr>
            <w:tcW w:type="dxa" w:w="6048"/>
            <w:shd w:val="clear" w:color="auto" w:fill="FFFFFF"/>
          </w:tcPr>
          <w:p>
            <w:r>
              <w:rPr>
                <w:sz w:val="19"/>
              </w:rPr>
              <w:t>Sathvik Valivety (@sathvikvalivety)</w:t>
            </w:r>
          </w:p>
        </w:tc>
      </w:tr>
      <w:tr>
        <w:tc>
          <w:tcPr>
            <w:tcW w:type="dxa" w:w="3312"/>
            <w:shd w:val="clear" w:color="auto" w:fill="F1F5F9"/>
          </w:tcPr>
          <w:p>
            <w:r>
              <w:rPr>
                <w:b/>
                <w:sz w:val="19"/>
              </w:rPr>
              <w:t>Course &amp; Code</w:t>
            </w:r>
          </w:p>
        </w:tc>
        <w:tc>
          <w:tcPr>
            <w:tcW w:type="dxa" w:w="6048"/>
            <w:shd w:val="clear" w:color="auto" w:fill="FFFFFF"/>
          </w:tcPr>
          <w:p>
            <w:r>
              <w:rPr>
                <w:sz w:val="19"/>
              </w:rPr>
              <w:t>24CYS401 Secure Software Engineering</w:t>
            </w:r>
          </w:p>
        </w:tc>
      </w:tr>
      <w:tr>
        <w:tc>
          <w:tcPr>
            <w:tcW w:type="dxa" w:w="3312"/>
            <w:shd w:val="clear" w:color="auto" w:fill="F1F5F9"/>
          </w:tcPr>
          <w:p>
            <w:r>
              <w:rPr>
                <w:b/>
                <w:sz w:val="19"/>
              </w:rPr>
              <w:t>Project Scope</w:t>
            </w:r>
          </w:p>
        </w:tc>
        <w:tc>
          <w:tcPr>
            <w:tcW w:type="dxa" w:w="6048"/>
            <w:shd w:val="clear" w:color="auto" w:fill="FFFFFF"/>
          </w:tcPr>
          <w:p>
            <w:r>
              <w:rPr>
                <w:sz w:val="19"/>
              </w:rPr>
              <w:t>16 Complete Examination Phases (Agile, SRS, UML, DFD, Architecture, UI, STRIDE, Attack Tree, Scrum, Sprints, Build, Refactoring, Containers, CI/CD, Hardening, Audit)</w:t>
            </w:r>
          </w:p>
        </w:tc>
      </w:tr>
      <w:tr>
        <w:tc>
          <w:tcPr>
            <w:tcW w:type="dxa" w:w="3312"/>
            <w:shd w:val="clear" w:color="auto" w:fill="F1F5F9"/>
          </w:tcPr>
          <w:p>
            <w:r>
              <w:rPr>
                <w:b/>
                <w:sz w:val="19"/>
              </w:rPr>
              <w:t>Backend Architecture</w:t>
            </w:r>
          </w:p>
        </w:tc>
        <w:tc>
          <w:tcPr>
            <w:tcW w:type="dxa" w:w="6048"/>
            <w:shd w:val="clear" w:color="auto" w:fill="FFFFFF"/>
          </w:tcPr>
          <w:p>
            <w:r>
              <w:rPr>
                <w:sz w:val="19"/>
              </w:rPr>
              <w:t>Java 21 (Temurin 21.0.12.1), Spring Boot 3.3.4, Spring Security, Spring Data JPA</w:t>
            </w:r>
          </w:p>
        </w:tc>
      </w:tr>
      <w:tr>
        <w:tc>
          <w:tcPr>
            <w:tcW w:type="dxa" w:w="3312"/>
            <w:shd w:val="clear" w:color="auto" w:fill="F1F5F9"/>
          </w:tcPr>
          <w:p>
            <w:r>
              <w:rPr>
                <w:b/>
                <w:sz w:val="19"/>
              </w:rPr>
              <w:t>Database &amp; Persistence</w:t>
            </w:r>
          </w:p>
        </w:tc>
        <w:tc>
          <w:tcPr>
            <w:tcW w:type="dxa" w:w="6048"/>
            <w:shd w:val="clear" w:color="auto" w:fill="FFFFFF"/>
          </w:tcPr>
          <w:p>
            <w:r>
              <w:rPr>
                <w:sz w:val="19"/>
              </w:rPr>
              <w:t>MariaDB 11.4 / H2 Database (Pessimistic Row Locking, ACID Transactions)</w:t>
            </w:r>
          </w:p>
        </w:tc>
      </w:tr>
      <w:tr>
        <w:tc>
          <w:tcPr>
            <w:tcW w:type="dxa" w:w="3312"/>
            <w:shd w:val="clear" w:color="auto" w:fill="F1F5F9"/>
          </w:tcPr>
          <w:p>
            <w:r>
              <w:rPr>
                <w:b/>
                <w:sz w:val="19"/>
              </w:rPr>
              <w:t>Frontend Application</w:t>
            </w:r>
          </w:p>
        </w:tc>
        <w:tc>
          <w:tcPr>
            <w:tcW w:type="dxa" w:w="6048"/>
            <w:shd w:val="clear" w:color="auto" w:fill="FFFFFF"/>
          </w:tcPr>
          <w:p>
            <w:r>
              <w:rPr>
                <w:sz w:val="19"/>
              </w:rPr>
              <w:t>React 18 SPA, Vite 5.4, Unprivileged Nginx Reverse Proxy (UID 101)</w:t>
            </w:r>
          </w:p>
        </w:tc>
      </w:tr>
      <w:tr>
        <w:tc>
          <w:tcPr>
            <w:tcW w:type="dxa" w:w="3312"/>
            <w:shd w:val="clear" w:color="auto" w:fill="F1F5F9"/>
          </w:tcPr>
          <w:p>
            <w:r>
              <w:rPr>
                <w:b/>
                <w:sz w:val="19"/>
              </w:rPr>
              <w:t>Quality Gate &amp; SAST Status</w:t>
            </w:r>
          </w:p>
        </w:tc>
        <w:tc>
          <w:tcPr>
            <w:tcW w:type="dxa" w:w="6048"/>
            <w:shd w:val="clear" w:color="auto" w:fill="DCFCE7"/>
          </w:tcPr>
          <w:p>
            <w:r>
              <w:rPr>
                <w:b/>
                <w:color w:val="166534"/>
                <w:sz w:val="19"/>
              </w:rPr>
              <w:t>SonarQube 9.9 LTS PASSED (0 Vulnerabilities, 0 Bugs, 0 Hotspots, 69.8% Coverage, 2.5% Duplications)</w:t>
            </w:r>
          </w:p>
        </w:tc>
      </w:tr>
    </w:tbl>
    <w:p>
      <w:r>
        <w:br w:type="page"/>
      </w:r>
    </w:p>
    <w:p>
      <w:pPr>
        <w:pStyle w:val="Heading1"/>
      </w:pPr>
      <w:r>
        <w:t>Table of Contents &amp; Phase Structure</w:t>
      </w:r>
    </w:p>
    <w:p>
      <w:r>
        <w:t>This master dossier integrates the complete implementation, security analysis, test verification, containerization, and operational deployment of the Digital Wallet and Payment Gateway Simulator across all 16 prescribed examination phases: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Phase</w:t>
            </w:r>
          </w:p>
        </w:tc>
        <w:tc>
          <w:tcPr>
            <w:tcW w:type="dxa" w:w="3120"/>
            <w:shd w:val="clear" w:color="auto" w:fill="1E3A8A"/>
          </w:tcPr>
          <w:p>
            <w:r>
              <w:rPr>
                <w:b/>
                <w:color w:val="FFFFFF"/>
              </w:rPr>
              <w:t>Examination Phase Title</w:t>
            </w:r>
          </w:p>
        </w:tc>
        <w:tc>
          <w:tcPr>
            <w:tcW w:type="dxa" w:w="3120"/>
            <w:shd w:val="clear" w:color="auto" w:fill="1E3A8A"/>
          </w:tcPr>
          <w:p>
            <w:r>
              <w:rPr>
                <w:b/>
                <w:color w:val="FFFFFF"/>
              </w:rPr>
              <w:t>Key Technical Artifacts &amp; Deliverables</w:t>
            </w:r>
          </w:p>
        </w:tc>
      </w:tr>
      <w:tr>
        <w:tc>
          <w:tcPr>
            <w:tcW w:type="dxa" w:w="3120"/>
            <w:shd w:val="clear" w:color="auto" w:fill="F8FAFC"/>
          </w:tcPr>
          <w:p>
            <w:r>
              <w:rPr>
                <w:b/>
                <w:sz w:val="17"/>
              </w:rPr>
              <w:t>Phase 1</w:t>
            </w:r>
          </w:p>
        </w:tc>
        <w:tc>
          <w:tcPr>
            <w:tcW w:type="dxa" w:w="3120"/>
            <w:shd w:val="clear" w:color="auto" w:fill="F8FAFC"/>
          </w:tcPr>
          <w:p>
            <w:r>
              <w:rPr>
                <w:b/>
                <w:sz w:val="17"/>
              </w:rPr>
              <w:t>Agile Process and Development Approach</w:t>
            </w:r>
          </w:p>
        </w:tc>
        <w:tc>
          <w:tcPr>
            <w:tcW w:type="dxa" w:w="3120"/>
            <w:shd w:val="clear" w:color="auto" w:fill="F8FAFC"/>
          </w:tcPr>
          <w:p>
            <w:r>
              <w:rPr>
                <w:sz w:val="17"/>
              </w:rPr>
              <w:t>Scrum framework, Agile Manifesto mapping, refactoring candidates, agile limitations</w:t>
            </w:r>
          </w:p>
        </w:tc>
      </w:tr>
      <w:tr>
        <w:tc>
          <w:tcPr>
            <w:tcW w:type="dxa" w:w="3120"/>
            <w:shd w:val="clear" w:color="auto" w:fill="FFFFFF"/>
          </w:tcPr>
          <w:p>
            <w:r>
              <w:rPr>
                <w:b/>
                <w:sz w:val="17"/>
              </w:rPr>
              <w:t>Phase 2</w:t>
            </w:r>
          </w:p>
        </w:tc>
        <w:tc>
          <w:tcPr>
            <w:tcW w:type="dxa" w:w="3120"/>
            <w:shd w:val="clear" w:color="auto" w:fill="FFFFFF"/>
          </w:tcPr>
          <w:p>
            <w:r>
              <w:rPr>
                <w:b/>
                <w:sz w:val="17"/>
              </w:rPr>
              <w:t>Requirements Engineering</w:t>
            </w:r>
          </w:p>
        </w:tc>
        <w:tc>
          <w:tcPr>
            <w:tcW w:type="dxa" w:w="3120"/>
            <w:shd w:val="clear" w:color="auto" w:fill="FFFFFF"/>
          </w:tcPr>
          <w:p>
            <w:r>
              <w:rPr>
                <w:sz w:val="17"/>
              </w:rPr>
              <w:t>SRS specification, FR-001..12, NFR-001..06, SEC-001..10, validation criteria</w:t>
            </w:r>
          </w:p>
        </w:tc>
      </w:tr>
      <w:tr>
        <w:tc>
          <w:tcPr>
            <w:tcW w:type="dxa" w:w="3120"/>
            <w:shd w:val="clear" w:color="auto" w:fill="F8FAFC"/>
          </w:tcPr>
          <w:p>
            <w:r>
              <w:rPr>
                <w:b/>
                <w:sz w:val="17"/>
              </w:rPr>
              <w:t>Phase 3</w:t>
            </w:r>
          </w:p>
        </w:tc>
        <w:tc>
          <w:tcPr>
            <w:tcW w:type="dxa" w:w="3120"/>
            <w:shd w:val="clear" w:color="auto" w:fill="F8FAFC"/>
          </w:tcPr>
          <w:p>
            <w:r>
              <w:rPr>
                <w:b/>
                <w:sz w:val="17"/>
              </w:rPr>
              <w:t>Requirements Analysis and UML</w:t>
            </w:r>
          </w:p>
        </w:tc>
        <w:tc>
          <w:tcPr>
            <w:tcW w:type="dxa" w:w="3120"/>
            <w:shd w:val="clear" w:color="auto" w:fill="F8FAFC"/>
          </w:tcPr>
          <w:p>
            <w:r>
              <w:rPr>
                <w:sz w:val="17"/>
              </w:rPr>
              <w:t>Use case diagram, analysis model, formal specifications for UC-PAY-001 &amp; UC-REF-001</w:t>
            </w:r>
          </w:p>
        </w:tc>
      </w:tr>
      <w:tr>
        <w:tc>
          <w:tcPr>
            <w:tcW w:type="dxa" w:w="3120"/>
            <w:shd w:val="clear" w:color="auto" w:fill="FFFFFF"/>
          </w:tcPr>
          <w:p>
            <w:r>
              <w:rPr>
                <w:b/>
                <w:sz w:val="17"/>
              </w:rPr>
              <w:t>Phase 4</w:t>
            </w:r>
          </w:p>
        </w:tc>
        <w:tc>
          <w:tcPr>
            <w:tcW w:type="dxa" w:w="3120"/>
            <w:shd w:val="clear" w:color="auto" w:fill="FFFFFF"/>
          </w:tcPr>
          <w:p>
            <w:r>
              <w:rPr>
                <w:b/>
                <w:sz w:val="17"/>
              </w:rPr>
              <w:t>Data and Information Flow Modeling</w:t>
            </w:r>
          </w:p>
        </w:tc>
        <w:tc>
          <w:tcPr>
            <w:tcW w:type="dxa" w:w="3120"/>
            <w:shd w:val="clear" w:color="auto" w:fill="FFFFFF"/>
          </w:tcPr>
          <w:p>
            <w:r>
              <w:rPr>
                <w:sz w:val="17"/>
              </w:rPr>
              <w:t>ER diagram, DFD Level 0 context, DFD Level 1 decomposition, trust boundaries</w:t>
            </w:r>
          </w:p>
        </w:tc>
      </w:tr>
      <w:tr>
        <w:tc>
          <w:tcPr>
            <w:tcW w:type="dxa" w:w="3120"/>
            <w:shd w:val="clear" w:color="auto" w:fill="F8FAFC"/>
          </w:tcPr>
          <w:p>
            <w:r>
              <w:rPr>
                <w:b/>
                <w:sz w:val="17"/>
              </w:rPr>
              <w:t>Phase 5</w:t>
            </w:r>
          </w:p>
        </w:tc>
        <w:tc>
          <w:tcPr>
            <w:tcW w:type="dxa" w:w="3120"/>
            <w:shd w:val="clear" w:color="auto" w:fill="F8FAFC"/>
          </w:tcPr>
          <w:p>
            <w:r>
              <w:rPr>
                <w:b/>
                <w:sz w:val="17"/>
              </w:rPr>
              <w:t>Software Architecture and Design Engineering</w:t>
            </w:r>
          </w:p>
        </w:tc>
        <w:tc>
          <w:tcPr>
            <w:tcW w:type="dxa" w:w="3120"/>
            <w:shd w:val="clear" w:color="auto" w:fill="F8FAFC"/>
          </w:tcPr>
          <w:p>
            <w:r>
              <w:rPr>
                <w:sz w:val="17"/>
              </w:rPr>
              <w:t>Layered secure architecture, component diagram, design pattern justification</w:t>
            </w:r>
          </w:p>
        </w:tc>
      </w:tr>
      <w:tr>
        <w:tc>
          <w:tcPr>
            <w:tcW w:type="dxa" w:w="3120"/>
            <w:shd w:val="clear" w:color="auto" w:fill="FFFFFF"/>
          </w:tcPr>
          <w:p>
            <w:r>
              <w:rPr>
                <w:b/>
                <w:sz w:val="17"/>
              </w:rPr>
              <w:t>Phase 6</w:t>
            </w:r>
          </w:p>
        </w:tc>
        <w:tc>
          <w:tcPr>
            <w:tcW w:type="dxa" w:w="3120"/>
            <w:shd w:val="clear" w:color="auto" w:fill="FFFFFF"/>
          </w:tcPr>
          <w:p>
            <w:r>
              <w:rPr>
                <w:b/>
                <w:sz w:val="17"/>
              </w:rPr>
              <w:t>User Interface Design</w:t>
            </w:r>
          </w:p>
        </w:tc>
        <w:tc>
          <w:tcPr>
            <w:tcW w:type="dxa" w:w="3120"/>
            <w:shd w:val="clear" w:color="auto" w:fill="FFFFFF"/>
          </w:tcPr>
          <w:p>
            <w:r>
              <w:rPr>
                <w:sz w:val="17"/>
              </w:rPr>
              <w:t>Wireframes, UI security design rationale, state transition error handling</w:t>
            </w:r>
          </w:p>
        </w:tc>
      </w:tr>
      <w:tr>
        <w:tc>
          <w:tcPr>
            <w:tcW w:type="dxa" w:w="3120"/>
            <w:shd w:val="clear" w:color="auto" w:fill="F8FAFC"/>
          </w:tcPr>
          <w:p>
            <w:r>
              <w:rPr>
                <w:b/>
                <w:sz w:val="17"/>
              </w:rPr>
              <w:t>Phase 7</w:t>
            </w:r>
          </w:p>
        </w:tc>
        <w:tc>
          <w:tcPr>
            <w:tcW w:type="dxa" w:w="3120"/>
            <w:shd w:val="clear" w:color="auto" w:fill="F8FAFC"/>
          </w:tcPr>
          <w:p>
            <w:r>
              <w:rPr>
                <w:b/>
                <w:sz w:val="17"/>
              </w:rPr>
              <w:t>Threat Modeling and Security Analysis</w:t>
            </w:r>
          </w:p>
        </w:tc>
        <w:tc>
          <w:tcPr>
            <w:tcW w:type="dxa" w:w="3120"/>
            <w:shd w:val="clear" w:color="auto" w:fill="F8FAFC"/>
          </w:tcPr>
          <w:p>
            <w:r>
              <w:rPr>
                <w:sz w:val="17"/>
              </w:rPr>
              <w:t>CIA asset categorization, STRIDE matrix across all 6 threat vectors, vulnerability assessment</w:t>
            </w:r>
          </w:p>
        </w:tc>
      </w:tr>
      <w:tr>
        <w:tc>
          <w:tcPr>
            <w:tcW w:type="dxa" w:w="3120"/>
            <w:shd w:val="clear" w:color="auto" w:fill="FFFFFF"/>
          </w:tcPr>
          <w:p>
            <w:r>
              <w:rPr>
                <w:b/>
                <w:sz w:val="17"/>
              </w:rPr>
              <w:t>Phase 8</w:t>
            </w:r>
          </w:p>
        </w:tc>
        <w:tc>
          <w:tcPr>
            <w:tcW w:type="dxa" w:w="3120"/>
            <w:shd w:val="clear" w:color="auto" w:fill="FFFFFF"/>
          </w:tcPr>
          <w:p>
            <w:r>
              <w:rPr>
                <w:b/>
                <w:sz w:val="17"/>
              </w:rPr>
              <w:t>Attack Tree and Security Architecture Refinement</w:t>
            </w:r>
          </w:p>
        </w:tc>
        <w:tc>
          <w:tcPr>
            <w:tcW w:type="dxa" w:w="3120"/>
            <w:shd w:val="clear" w:color="auto" w:fill="FFFFFF"/>
          </w:tcPr>
          <w:p>
            <w:r>
              <w:rPr>
                <w:sz w:val="17"/>
              </w:rPr>
              <w:t>Hierarchical attack trees, quantitative attack path risk scoring, refined defensive controls</w:t>
            </w:r>
          </w:p>
        </w:tc>
      </w:tr>
      <w:tr>
        <w:tc>
          <w:tcPr>
            <w:tcW w:type="dxa" w:w="3120"/>
            <w:shd w:val="clear" w:color="auto" w:fill="F8FAFC"/>
          </w:tcPr>
          <w:p>
            <w:r>
              <w:rPr>
                <w:b/>
                <w:sz w:val="17"/>
              </w:rPr>
              <w:t>Phase 9</w:t>
            </w:r>
          </w:p>
        </w:tc>
        <w:tc>
          <w:tcPr>
            <w:tcW w:type="dxa" w:w="3120"/>
            <w:shd w:val="clear" w:color="auto" w:fill="F8FAFC"/>
          </w:tcPr>
          <w:p>
            <w:r>
              <w:rPr>
                <w:b/>
                <w:sz w:val="17"/>
              </w:rPr>
              <w:t>Product Backlog and Jira/Scrum</w:t>
            </w:r>
          </w:p>
        </w:tc>
        <w:tc>
          <w:tcPr>
            <w:tcW w:type="dxa" w:w="3120"/>
            <w:shd w:val="clear" w:color="auto" w:fill="F8FAFC"/>
          </w:tcPr>
          <w:p>
            <w:r>
              <w:rPr>
                <w:sz w:val="17"/>
              </w:rPr>
              <w:t>Epics, stories, story points, acceptance criteria, security-driven DoD</w:t>
            </w:r>
          </w:p>
        </w:tc>
      </w:tr>
      <w:tr>
        <w:tc>
          <w:tcPr>
            <w:tcW w:type="dxa" w:w="3120"/>
            <w:shd w:val="clear" w:color="auto" w:fill="FFFFFF"/>
          </w:tcPr>
          <w:p>
            <w:r>
              <w:rPr>
                <w:b/>
                <w:sz w:val="17"/>
              </w:rPr>
              <w:t>Phase 10</w:t>
            </w:r>
          </w:p>
        </w:tc>
        <w:tc>
          <w:tcPr>
            <w:tcW w:type="dxa" w:w="3120"/>
            <w:shd w:val="clear" w:color="auto" w:fill="FFFFFF"/>
          </w:tcPr>
          <w:p>
            <w:r>
              <w:rPr>
                <w:b/>
                <w:sz w:val="17"/>
              </w:rPr>
              <w:t>Sprint Execution and Scrum Metrics</w:t>
            </w:r>
          </w:p>
        </w:tc>
        <w:tc>
          <w:tcPr>
            <w:tcW w:type="dxa" w:w="3120"/>
            <w:shd w:val="clear" w:color="auto" w:fill="FFFFFF"/>
          </w:tcPr>
          <w:p>
            <w:r>
              <w:rPr>
                <w:sz w:val="17"/>
              </w:rPr>
              <w:t>Sprint 1 &amp; Sprint 2 execution, defect DEF-001 lifecycle, burndown and velocity analysis</w:t>
            </w:r>
          </w:p>
        </w:tc>
      </w:tr>
      <w:tr>
        <w:tc>
          <w:tcPr>
            <w:tcW w:type="dxa" w:w="3120"/>
            <w:shd w:val="clear" w:color="auto" w:fill="F8FAFC"/>
          </w:tcPr>
          <w:p>
            <w:r>
              <w:rPr>
                <w:b/>
                <w:sz w:val="17"/>
              </w:rPr>
              <w:t>Phase 11</w:t>
            </w:r>
          </w:p>
        </w:tc>
        <w:tc>
          <w:tcPr>
            <w:tcW w:type="dxa" w:w="3120"/>
            <w:shd w:val="clear" w:color="auto" w:fill="F8FAFC"/>
          </w:tcPr>
          <w:p>
            <w:r>
              <w:rPr>
                <w:b/>
                <w:sz w:val="17"/>
              </w:rPr>
              <w:t>Secure Development and Build Environment</w:t>
            </w:r>
          </w:p>
        </w:tc>
        <w:tc>
          <w:tcPr>
            <w:tcW w:type="dxa" w:w="3120"/>
            <w:shd w:val="clear" w:color="auto" w:fill="F8FAFC"/>
          </w:tcPr>
          <w:p>
            <w:r>
              <w:rPr>
                <w:sz w:val="17"/>
              </w:rPr>
              <w:t>SonarQube SAST analysis, Quality Gate = OK, blocker S6437 remediation, code smell cleanup</w:t>
            </w:r>
          </w:p>
        </w:tc>
      </w:tr>
      <w:tr>
        <w:tc>
          <w:tcPr>
            <w:tcW w:type="dxa" w:w="3120"/>
            <w:shd w:val="clear" w:color="auto" w:fill="FFFFFF"/>
          </w:tcPr>
          <w:p>
            <w:r>
              <w:rPr>
                <w:b/>
                <w:sz w:val="17"/>
              </w:rPr>
              <w:t>Phase 12</w:t>
            </w:r>
          </w:p>
        </w:tc>
        <w:tc>
          <w:tcPr>
            <w:tcW w:type="dxa" w:w="3120"/>
            <w:shd w:val="clear" w:color="auto" w:fill="FFFFFF"/>
          </w:tcPr>
          <w:p>
            <w:r>
              <w:rPr>
                <w:b/>
                <w:sz w:val="17"/>
              </w:rPr>
              <w:t>Secure Coding and Refactoring</w:t>
            </w:r>
          </w:p>
        </w:tc>
        <w:tc>
          <w:tcPr>
            <w:tcW w:type="dxa" w:w="3120"/>
            <w:shd w:val="clear" w:color="auto" w:fill="FFFFFF"/>
          </w:tcPr>
          <w:p>
            <w:r>
              <w:rPr>
                <w:sz w:val="17"/>
              </w:rPr>
              <w:t>Defect DEF-001 concurrency refactoring, pessimistic locking, Idempotency-Key caching, BOLA defense</w:t>
            </w:r>
          </w:p>
        </w:tc>
      </w:tr>
      <w:tr>
        <w:tc>
          <w:tcPr>
            <w:tcW w:type="dxa" w:w="3120"/>
            <w:shd w:val="clear" w:color="auto" w:fill="F8FAFC"/>
          </w:tcPr>
          <w:p>
            <w:r>
              <w:rPr>
                <w:b/>
                <w:sz w:val="17"/>
              </w:rPr>
              <w:t>Phase 13 [7 Marks]</w:t>
            </w:r>
          </w:p>
        </w:tc>
        <w:tc>
          <w:tcPr>
            <w:tcW w:type="dxa" w:w="3120"/>
            <w:shd w:val="clear" w:color="auto" w:fill="F8FAFC"/>
          </w:tcPr>
          <w:p>
            <w:r>
              <w:rPr>
                <w:b/>
                <w:sz w:val="17"/>
              </w:rPr>
              <w:t>Containerized Development: Docker &amp; Kubernetes</w:t>
            </w:r>
          </w:p>
        </w:tc>
        <w:tc>
          <w:tcPr>
            <w:tcW w:type="dxa" w:w="3120"/>
            <w:shd w:val="clear" w:color="auto" w:fill="F8FAFC"/>
          </w:tcPr>
          <w:p>
            <w:r>
              <w:rPr>
                <w:sz w:val="17"/>
              </w:rPr>
              <w:t>Multi-stage non-root Dockerfiles (UID 10001 / UID 101), 4 security practices, 11 k8s manifests in dwpg namespace, 2+ security controls</w:t>
            </w:r>
          </w:p>
        </w:tc>
      </w:tr>
      <w:tr>
        <w:tc>
          <w:tcPr>
            <w:tcW w:type="dxa" w:w="3120"/>
            <w:shd w:val="clear" w:color="auto" w:fill="FFFFFF"/>
          </w:tcPr>
          <w:p>
            <w:r>
              <w:rPr>
                <w:b/>
                <w:sz w:val="17"/>
              </w:rPr>
              <w:t>Phase 14 [7 Marks]</w:t>
            </w:r>
          </w:p>
        </w:tc>
        <w:tc>
          <w:tcPr>
            <w:tcW w:type="dxa" w:w="3120"/>
            <w:shd w:val="clear" w:color="auto" w:fill="FFFFFF"/>
          </w:tcPr>
          <w:p>
            <w:r>
              <w:rPr>
                <w:b/>
                <w:sz w:val="17"/>
              </w:rPr>
              <w:t>CI/CD and Security Testing</w:t>
            </w:r>
          </w:p>
        </w:tc>
        <w:tc>
          <w:tcPr>
            <w:tcW w:type="dxa" w:w="3120"/>
            <w:shd w:val="clear" w:color="auto" w:fill="FFFFFF"/>
          </w:tcPr>
          <w:p>
            <w:r>
              <w:rPr>
                <w:sz w:val="17"/>
              </w:rPr>
              <w:t>GitHub Actions workflow (5 stages), Unit/Integration/E2E tests, Input boundary fuzzing, DEF-001 defect retest</w:t>
            </w:r>
          </w:p>
        </w:tc>
      </w:tr>
      <w:tr>
        <w:tc>
          <w:tcPr>
            <w:tcW w:type="dxa" w:w="3120"/>
            <w:shd w:val="clear" w:color="auto" w:fill="F8FAFC"/>
          </w:tcPr>
          <w:p>
            <w:r>
              <w:rPr>
                <w:b/>
                <w:sz w:val="17"/>
              </w:rPr>
              <w:t>Phase 15 [5 Marks]</w:t>
            </w:r>
          </w:p>
        </w:tc>
        <w:tc>
          <w:tcPr>
            <w:tcW w:type="dxa" w:w="3120"/>
            <w:shd w:val="clear" w:color="auto" w:fill="F8FAFC"/>
          </w:tcPr>
          <w:p>
            <w:r>
              <w:rPr>
                <w:b/>
                <w:sz w:val="17"/>
              </w:rPr>
              <w:t>Logging, Monitoring, Hardening and Secure Deployment</w:t>
            </w:r>
          </w:p>
        </w:tc>
        <w:tc>
          <w:tcPr>
            <w:tcW w:type="dxa" w:w="3120"/>
            <w:shd w:val="clear" w:color="auto" w:fill="F8FAFC"/>
          </w:tcPr>
          <w:p>
            <w:r>
              <w:rPr>
                <w:sz w:val="17"/>
              </w:rPr>
              <w:t>AuditService 12 security events, 5 SIEM alerts, 6-domain hardening checklist, physical/operational controls</w:t>
            </w:r>
          </w:p>
        </w:tc>
      </w:tr>
      <w:tr>
        <w:tc>
          <w:tcPr>
            <w:tcW w:type="dxa" w:w="3120"/>
            <w:shd w:val="clear" w:color="auto" w:fill="FFFFFF"/>
          </w:tcPr>
          <w:p>
            <w:r>
              <w:rPr>
                <w:b/>
                <w:sz w:val="17"/>
              </w:rPr>
              <w:t>Phase 16</w:t>
            </w:r>
          </w:p>
        </w:tc>
        <w:tc>
          <w:tcPr>
            <w:tcW w:type="dxa" w:w="3120"/>
            <w:shd w:val="clear" w:color="auto" w:fill="FFFFFF"/>
          </w:tcPr>
          <w:p>
            <w:r>
              <w:rPr>
                <w:b/>
                <w:sz w:val="17"/>
              </w:rPr>
              <w:t>Final Security Review and Master Sign-Off</w:t>
            </w:r>
          </w:p>
        </w:tc>
        <w:tc>
          <w:tcPr>
            <w:tcW w:type="dxa" w:w="3120"/>
            <w:shd w:val="clear" w:color="auto" w:fill="FFFFFF"/>
          </w:tcPr>
          <w:p>
            <w:r>
              <w:rPr>
                <w:sz w:val="17"/>
              </w:rPr>
              <w:t>Bidirectional traceability matrix, 25-checkpoint verification, production certification</w:t>
            </w:r>
          </w:p>
        </w:tc>
      </w:tr>
    </w:tbl>
    <w:p>
      <w:r>
        <w:br w:type="page"/>
      </w:r>
    </w:p>
    <w:p>
      <w:pPr>
        <w:pStyle w:val="Heading1"/>
      </w:pPr>
      <w:r>
        <w:t>Phase 1: Agile Process and Development Approach</w:t>
      </w:r>
    </w:p>
    <w:p>
      <w:r>
        <w:t>Section 1.1: Agile Methodology Adoption:</w:t>
        <w:br/>
        <w:t>The project adopted the Scrum framework tailored for Secure Software Development (Security-Driven Scrum). Iterative sprint cycles enabled immediate feedback, continuous risk reduction, and proactive threat modeling. Unlike traditional waterfall development, security verification was executed continuously across each sprint increment.</w:t>
      </w:r>
    </w:p>
    <w:p>
      <w:r>
        <w:t>Section 1.2: Agile Manifesto Principle Mapping:</w:t>
        <w:br/>
        <w:t>• Individuals and Interactions over Processes and Tools: Daily security scrums and cross-functional pair programming fostered shared ownership of security controls.</w:t>
        <w:br/>
        <w:t>• Working Software over Comprehensive Documentation: Executable integration tests, automated CI/CD checks, and passing quality gates served as living, verifiable documentation of system behavior.</w:t>
        <w:br/>
        <w:t>• Customer Collaboration over Contract Negotiation: Rapid feedback loops allowed fine-tuning of wallet simulator usability and fraud alert visibility.</w:t>
        <w:br/>
        <w:t>• Responding to Change over Following a Plan: Discovery of defect DEF-001 (double spending) during Sprint 1 triggered an immediate architectural pivot to pessimistic locking and JVM striped synchronization during Sprint 2.</w:t>
      </w:r>
    </w:p>
    <w:p>
      <w:r>
        <w:t>Section 1.3: Refactoring Opportunities &amp; Technical Debt Management:</w:t>
        <w:br/>
        <w:t>Refactoring was treated as a first-class sprint backlog item. Technical debt in the concurrency model, duplicate IP literals, and seed credentials were triaged and resolved, driving code smells down to near zero and eliminating all security vulnerabilities.</w:t>
      </w:r>
    </w:p>
    <w:p>
      <w:r>
        <w:t>Section 1.4: Agile Limitations in High-Assurance Environments:</w:t>
        <w:br/>
        <w:t>While Agile emphasizes velocity, high-assurance financial architectures require non-negotiable formal verification, cryptographic validation, and complete compliance matrices. The project mitigated Agile pitfalls by introducing strict security-focused Definitions of Done (DoD) requiring automated concurrency testing, static analysis gate pass, and tamper hash verification.</w:t>
      </w:r>
    </w:p>
    <w:p>
      <w:pPr>
        <w:pStyle w:val="Heading1"/>
      </w:pPr>
      <w:r>
        <w:t>Phase 2: Requirements Engineering</w:t>
      </w:r>
    </w:p>
    <w:p>
      <w:r>
        <w:t>Section 2.1: Requirements Engineering Process:</w:t>
        <w:br/>
        <w:t>Requirements were elicited using misuse case analysis, domain-driven banking simulator workflows, and regulatory guidelines (PCI-DSS v4.0, NIST SP 800-63B). Requirements were formally classified into Functional (FR-001..12), Non-Functional (NFR-001..06), and Security (SEC-001..10) specifications.</w:t>
      </w:r>
    </w:p>
    <w:p>
      <w:r>
        <w:t>Section 2.2: Functional &amp; Non-Functional Requirements Summary:</w:t>
        <w:br/>
        <w:t>• FR-001..04: User registration, secure login, wallet provisioning, and atomic simulated top-up.</w:t>
        <w:br/>
        <w:t>• FR-005..08: Merchant onboarding, checkout initiation with mandatory Idempotency-Key, status confirmation, and single-execution refunds.</w:t>
        <w:br/>
        <w:t>• FR-009..12: Immutable transaction history, administrative audit trail, anti-replay filter, and BOLA ownership enforcement.</w:t>
        <w:br/>
        <w:t>• NFR-001..06: Sub-200ms transaction latency, ACID isolation, 99.95% container availability, PCI-DSS PII masking, REST/OpenAPI compliance, and zero-downtime deployment.</w:t>
      </w:r>
    </w:p>
    <w:p>
      <w:r>
        <w:t>Section 2.3: Security Requirements Specification:</w:t>
        <w:br/>
        <w:t>• SEC-001: BCrypt password hashing (cost factor 12) with zero plaintext credential persistence.</w:t>
        <w:br/>
        <w:t>• SEC-002: Stateless HMAC-SHA256 JWT tokens with 24-hour expiration and cryptographic signature validation.</w:t>
        <w:br/>
        <w:t>• SEC-003: Role-Based Access Control enforcing strict separation between USER, MERCHANT, and ADMIN privileges.</w:t>
        <w:br/>
        <w:t>• SEC-004 &amp; SEC-005: Idempotency-Key validation and SHA-256 payload digest comparison preventing duplicate billing and replay attacks.</w:t>
        <w:br/>
        <w:t>• SEC-006: Atomic balance debit using MariaDB pessimistic row locking ('SELECT FOR UPDATE') eliminating race conditions and double spending.</w:t>
        <w:br/>
        <w:t>• SEC-007: Broken Object Level Authorization (BOLA / IDOR) prevention via SecurityContext principal verification.</w:t>
        <w:br/>
        <w:t>• SEC-008: Comprehensive boundary input validation rejecting negative amounts, overflow values, and script injection payloads.</w:t>
        <w:br/>
        <w:t>• SEC-009: Immutable security audit logging with automatic regex redaction of payment cards and passwords.</w:t>
        <w:br/>
        <w:t>• SEC-010: Zero-trust Kubernetes NetworkPolicies and non-root container sandboxing.</w:t>
      </w:r>
    </w:p>
    <w:p>
      <w:pPr>
        <w:pStyle w:val="Heading1"/>
      </w:pPr>
      <w:r>
        <w:t>Phase 3 &amp; 4: UML Analysis and Data Flow Modeling</w:t>
      </w:r>
    </w:p>
    <w:p>
      <w:r>
        <w:t>Section 3.1 &amp; 4.1: UML Use Case &amp; Analysis Models:</w:t>
        <w:br/>
        <w:t>The system interaction boundaries were modeled in Draw.io ('docs/03-uml/use-case-diagram.drawio') featuring three primary actors: Consumer User, Merchant, and Compliance Administrator. Detailed use case specifications were authored for UC-PAY-001 (Payment Initiation) and UC-REF-001 (Refund Execution), defining happy paths, alternate flows, and adversarial exception branches.</w:t>
      </w:r>
    </w:p>
    <w:p>
      <w:r>
        <w:t>Section 4.2: Data Flow Diagrams &amp; Trust Boundaries:</w:t>
        <w:br/>
        <w:t>The system's data flows were decomposed across DFD Level 0 (Context Diagram) and DFD Level 1 (Operational Decomposition in 'docs/04-data-flow/'):</w:t>
        <w:br/>
        <w:t>• Trust Boundary 1 (Public / DMZ): Traversed by untrusted client requests via HTTPS, terminating at the Nginx reverse proxy.</w:t>
        <w:br/>
        <w:t>• Trust Boundary 2 (DMZ / Internal API): Protected by Spring Security JwtAuthenticationFilter validating Bearer tokens.</w:t>
        <w:br/>
        <w:t>• Trust Boundary 3 (Application / Persistence Vault): Protected by TransactionTemplate boundaries and MariaDB row locks.</w:t>
        <w:br/>
        <w:t>• Trust Boundary 4 (Audit Vault): Isolated append-only storage for forensic audit logs.</w:t>
      </w:r>
    </w:p>
    <w:p>
      <w:pPr>
        <w:pStyle w:val="Heading1"/>
      </w:pPr>
      <w:r>
        <w:t>Phase 5 &amp; 6: Software Architecture and UI Design</w:t>
      </w:r>
    </w:p>
    <w:p>
      <w:r>
        <w:t>Section 5.1: Layered Secure Architecture:</w:t>
        <w:br/>
        <w:t>The application adheres to a clean 4-tier layered architecture: Presentation Layer (React SPA), API Gateway / Security Layer (Spring Security Filters, Controllers, Global Exception Handler), Business Service Layer (WalletService, PaymentService, MerchantService, RefundService, IdempotencyService, AuditService), and Data Persistence Layer (Spring Data JPA, MariaDB).</w:t>
        <w:br/>
        <w:t>Design patterns utilized include the Repository Pattern (data abstraction), DTO Pattern (data encapsulation), Strategy Pattern (audit scrubbing and event classification), and the Idempotency Interceptor Pattern.</w:t>
      </w:r>
    </w:p>
    <w:p>
      <w:r>
        <w:t>Section 6.1: User Interface Design &amp; Security Safeguards:</w:t>
        <w:br/>
        <w:t>The React frontend ('frontend/src/') provides dedicated views for Authentication, Wallet Dashboard, Checkout / Replay Attack Test Lab, Transaction Ledger with Tamper Hash verification, Merchant Portal, and SIEM Security Audit Explorer. The UI incorporates an interactive 'Simulate Replay Attack' trigger that demonstrates duplicate request caching and non-debit verification.</w:t>
      </w:r>
    </w:p>
    <w:p>
      <w:pPr>
        <w:pStyle w:val="Heading1"/>
      </w:pPr>
      <w:r>
        <w:t>Phase 7 &amp; 8: Threat Modeling and Attack Trees</w:t>
      </w:r>
    </w:p>
    <w:p>
      <w:r>
        <w:t>Section 7.1: STRIDE Threat Analysis Matrix:</w:t>
        <w:br/>
        <w:t>A formal STRIDE analysis was performed across all data stores, processes, and flows ('docs/07-security/stride-threat-model.xlsx'):</w:t>
        <w:br/>
        <w:t>• Spoofing: Credential stuffing &amp; token impersonation -&gt; Mitigated by BCrypt 12 rounds, JWT HMAC-SHA256, and failed-login throttling.</w:t>
        <w:br/>
        <w:t>• Tampering: Modifying transaction amounts or balance in flight -&gt; Mitigated by server-side derivation, SHA-256 tamper hashes, and non-modifiable DTOs.</w:t>
        <w:br/>
        <w:t>• Repudiation: Denying payment or refund actions -&gt; Mitigated by immutable audit records linked with request correlation IDs.</w:t>
        <w:br/>
        <w:t>• Information Disclosure: Sniffing PAN or leaking stack traces -&gt; Mitigated by PCI-DSS regex redaction and error message suppression.</w:t>
        <w:br/>
        <w:t>• Denial of Service: Resource exhaustion or wallet lock starvation -&gt; Mitigated by connection pool quotas, cgroup limits, and rate limiting.</w:t>
        <w:br/>
        <w:t>• Elevation of Privilege: BOLA / IDOR vertical and horizontal escalations -&gt; Mitigated by @PreAuthorize and ownership validation.</w:t>
      </w:r>
    </w:p>
    <w:p>
      <w:r>
        <w:t>Section 8.1: Attack Tree Refinement:</w:t>
        <w:br/>
        <w:t>Hierarchical attack trees were modeled in Draw.io ('docs/08-attack-tree/attack-tree.drawio') focusing on the root goal: 'Exhaust Funds via Double Spending and Replay Attacks'. Defensive countermeasures were quantitatively scored and mapped to the refined architecture.</w:t>
      </w:r>
    </w:p>
    <w:p>
      <w:pPr>
        <w:pStyle w:val="Heading1"/>
      </w:pPr>
      <w:r>
        <w:t>Phase 9 &amp; 10: Scrum Execution and Agile Metrics</w:t>
      </w:r>
    </w:p>
    <w:p>
      <w:r>
        <w:t>Section 9.1: Jira Product Backlog &amp; Epics:</w:t>
        <w:br/>
        <w:t>The Jira cloud project 'DWPG' (Board 101) was configured with 8 Epics (DWPG-2 to DWPG-9) and 13 User Stories/Bugs (DWPG-10 to DWPG-22). Every backlog item incorporated strict security-oriented acceptance criteria.</w:t>
      </w:r>
    </w:p>
    <w:p>
      <w:r>
        <w:t>Section 10.1: Sprint 1 &amp; Sprint 2 Execution Metrics:</w:t>
        <w:br/>
        <w:t>• Sprint 1 (Core Pay): 26 Story Points committed, 21 Story Points completed. During concurrent stress testing, defect DEF-001 (Double spending / race condition) was discovered and carried over.</w:t>
        <w:br/>
        <w:t>• Sprint 2 (Hardening &amp; Delivery): 34 Story Points committed, 34 Story Points completed (100% velocity). Defect DEF-001 was resolved using database row-level pessimistic locking and striped user synchronization. Velocity increased by 61.9%, achieving 0 open defects and a clean burndown.</w:t>
      </w:r>
    </w:p>
    <w:p>
      <w:pPr>
        <w:pStyle w:val="Heading1"/>
      </w:pPr>
      <w:r>
        <w:t>Phase 11 &amp; 12: Secure Build and Refactoring Evidence</w:t>
      </w:r>
    </w:p>
    <w:p>
      <w:r>
        <w:t>Section 11.1: SonarQube SAST Analysis:</w:t>
        <w:br/>
        <w:t>Static code analysis was executed using SonarQube 9.9.8 LTS against 68 indexed source files (2,375 NCLOC). The automated Quality Gate evaluated to PASSED / OK. One initial BLOCKER vulnerability (java:S6437 - hardcoded seed password) was remediated by externalizing admin credentials to environment variable ADMIN_INITIAL_PASSWORD with randomized CSPRNG fallback. Final SAST metrics: 0 Vulnerabilities, 0 Bugs, 0 Security Hotspots, 2.5% Duplications, Quality Gate: OK, and 69.8% Coverage. SonarQube S6437 (credentials) and S2245 (weak PRNG replaced with SecureRandom) remediated.</w:t>
      </w:r>
    </w:p>
    <w:p>
      <w:r>
        <w:t>Section 12.1: Secure Coding &amp; Concurrency Refactoring Evidence:</w:t>
        <w:br/>
        <w:t>Defect DEF-001 was remediated through a three-tier defense-in-depth model:</w:t>
        <w:br/>
        <w:t>1. JVM Striped Synchronization: ConcurrentHashMap per user lock ensures requests for the same wallet serialize cleanly.</w:t>
        <w:br/>
        <w:t>2. TransactionTemplate Boundary: Wraps operations within managed transactional contexts.</w:t>
        <w:br/>
        <w:t>3. MariaDB Pessimistic Locking: WalletRepository applies @Lock(LockModeType.PESSIMISTIC_WRITE) executing 'SELECT ... FOR UPDATE'.</w:t>
        <w:br/>
        <w:t>Verification: PaymentConcurrencyTest executed 10 simultaneous threads with ₹50 debit against a ₹100 balance. Exactly 2 transactions succeeded, exactly 8 failed with InsufficientFundsException, and the final balance was exactly ₹0.00 INR.</w:t>
      </w:r>
    </w:p>
    <w:p>
      <w:pPr>
        <w:pStyle w:val="Heading1"/>
      </w:pPr>
      <w:r>
        <w:t>Phase 13 [7 Marks] &amp; Phase 14 [7 Marks]: Containerization and CI/CD Pipeline</w:t>
      </w:r>
    </w:p>
    <w:p>
      <w:r>
        <w:t>Section 13.1: Hardened Containerization:</w:t>
        <w:br/>
        <w:t>• Backend Container: Alpine JRE 21 running as unprivileged user 'appuser' (UID 10001, GID 10001), memory quota -XX:MaxRAMPercentage=75.0, entropy mapped to /dev/urandom, compressed image size 129MB.</w:t>
        <w:br/>
        <w:t>• Frontend Container: Unprivileged Nginx running as UID 101 on port 3000, security headers (CSP, X-Frame-Options, X-Content-Type-Options), compressed image size 25.9MB.</w:t>
        <w:br/>
        <w:t>• Docker Compose: Orchestrates MariaDB 11.4, Backend, and Frontend with healthcheck dependencies.</w:t>
        <w:br/>
        <w:t>• Kubernetes Manifests: 11 manifests in 'k8s/' namespace 'dwpg' enforcing Pod Security Standards Restricted Profile and zero-trust NetworkPolicy isolating MariaDB port 3306 strictly to backend pods.</w:t>
      </w:r>
    </w:p>
    <w:p>
      <w:r>
        <w:t>Section 14.1: DevSecOps CI/CD Pipeline:</w:t>
        <w:br/>
        <w:t>The GitHub Actions workflow ('.github/workflows/ci.yml') executes six automated security stages: Unit/Concurrency Tests, JaCoCo Coverage Gate, SonarQube SAST Scan, Frontend Static Linting, Trivy Container Image Scan (zero critical CVEs), and Kubeconform Kubernetes IaC Schema Validation.</w:t>
      </w:r>
    </w:p>
    <w:p>
      <w:pPr>
        <w:pStyle w:val="Heading1"/>
      </w:pPr>
      <w:r>
        <w:t>Phase 15 [5 Marks] &amp; Phase 16: Hardening, SIEM Logging &amp; Final Verification</w:t>
      </w:r>
    </w:p>
    <w:p>
      <w:r>
        <w:t>Section 15.1: System Hardening &amp; SIEM Logging Plan:</w:t>
        <w:br/>
        <w:t>Application hardening suppresses stacktraces, enforces BCrypt 12 rounds, and isolates Actuator endpoints. AuditService scrubs sensitive payment cards and passwords prior to storing immutable audit entries. SIEM threat detection rules automatically flag brute-force login attempts, replay attack spikes, and BOLA violations.</w:t>
      </w:r>
    </w:p>
    <w:p>
      <w:r>
        <w:t>Section 16.1: Final Verification &amp; Traceability Sign-Off:</w:t>
        <w:br/>
        <w:t>The bidirectional Requirements Traceability Matrix ('docs/final/traceability-matrix.xlsx') certifies 100% compliance across all 12 Functional Requirements, 6 Non-Functional Requirements, and 10 Security Requirements. All 25 quality checkpoints have been empirically validated via automated test executions, SonarQube scans, container audits, and Kubernetes manifest linting. The DWPG Simulator is certified production-ready.</w:t>
      </w:r>
    </w:p>
    <w:p>
      <w:r>
        <w:br w:type="page"/>
      </w:r>
    </w:p>
    <w:p>
      <w:pPr>
        <w:pStyle w:val="Heading2"/>
      </w:pPr>
      <w:r>
        <w:t>Traceability Matrix Executive Summary</w:t>
      </w:r>
    </w:p>
    <w:p>
      <w:r>
        <w:t>The following matrix summarizes the complete traceability of the 10 core Security Requirements (SEC-001..10) across design, implementation, and verification: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r>
              <w:rPr>
                <w:b/>
                <w:color w:val="FFFFFF"/>
              </w:rPr>
              <w:t>Security ID</w:t>
            </w:r>
          </w:p>
        </w:tc>
        <w:tc>
          <w:tcPr>
            <w:tcW w:type="dxa" w:w="2340"/>
            <w:shd w:val="clear" w:color="auto" w:fill="1E3A8A"/>
          </w:tcPr>
          <w:p>
            <w:r>
              <w:rPr>
                <w:b/>
                <w:color w:val="FFFFFF"/>
              </w:rPr>
              <w:t>Security Requirement</w:t>
            </w:r>
          </w:p>
        </w:tc>
        <w:tc>
          <w:tcPr>
            <w:tcW w:type="dxa" w:w="2340"/>
            <w:shd w:val="clear" w:color="auto" w:fill="1E3A8A"/>
          </w:tcPr>
          <w:p>
            <w:r>
              <w:rPr>
                <w:b/>
                <w:color w:val="FFFFFF"/>
              </w:rPr>
              <w:t>Implementation Class / File</w:t>
            </w:r>
          </w:p>
        </w:tc>
        <w:tc>
          <w:tcPr>
            <w:tcW w:type="dxa" w:w="2340"/>
            <w:shd w:val="clear" w:color="auto" w:fill="1E3A8A"/>
          </w:tcPr>
          <w:p>
            <w:r>
              <w:rPr>
                <w:b/>
                <w:color w:val="FFFFFF"/>
              </w:rPr>
              <w:t>Empirical Test Proof</w:t>
            </w:r>
          </w:p>
        </w:tc>
      </w:tr>
      <w:tr>
        <w:tc>
          <w:tcPr>
            <w:tcW w:type="dxa" w:w="2340"/>
            <w:shd w:val="clear" w:color="auto" w:fill="F8FAFC"/>
          </w:tcPr>
          <w:p>
            <w:r>
              <w:rPr>
                <w:b/>
                <w:sz w:val="17"/>
              </w:rPr>
              <w:t>SEC-001</w:t>
            </w:r>
          </w:p>
        </w:tc>
        <w:tc>
          <w:tcPr>
            <w:tcW w:type="dxa" w:w="2340"/>
            <w:shd w:val="clear" w:color="auto" w:fill="F8FAFC"/>
          </w:tcPr>
          <w:p>
            <w:r>
              <w:rPr>
                <w:sz w:val="17"/>
              </w:rPr>
              <w:t>BCrypt Hashing (Zero Plaintext)</w:t>
            </w:r>
          </w:p>
        </w:tc>
        <w:tc>
          <w:tcPr>
            <w:tcW w:type="dxa" w:w="2340"/>
            <w:shd w:val="clear" w:color="auto" w:fill="F8FAFC"/>
          </w:tcPr>
          <w:p>
            <w:r>
              <w:rPr>
                <w:sz w:val="17"/>
              </w:rPr>
              <w:t>SecurityConfig / PasswordEncoder</w:t>
            </w:r>
          </w:p>
        </w:tc>
        <w:tc>
          <w:tcPr>
            <w:tcW w:type="dxa" w:w="2340"/>
            <w:shd w:val="clear" w:color="auto" w:fill="F8FAFC"/>
          </w:tcPr>
          <w:p>
            <w:r>
              <w:rPr>
                <w:b/>
                <w:color w:val="166534"/>
                <w:sz w:val="17"/>
              </w:rPr>
              <w:t>AuthServiceTest.testRegisterHash (0 plaintext)</w:t>
            </w:r>
          </w:p>
        </w:tc>
      </w:tr>
      <w:tr>
        <w:tc>
          <w:tcPr>
            <w:tcW w:type="dxa" w:w="2340"/>
            <w:shd w:val="clear" w:color="auto" w:fill="FFFFFF"/>
          </w:tcPr>
          <w:p>
            <w:r>
              <w:rPr>
                <w:b/>
                <w:sz w:val="17"/>
              </w:rPr>
              <w:t>SEC-002</w:t>
            </w:r>
          </w:p>
        </w:tc>
        <w:tc>
          <w:tcPr>
            <w:tcW w:type="dxa" w:w="2340"/>
            <w:shd w:val="clear" w:color="auto" w:fill="FFFFFF"/>
          </w:tcPr>
          <w:p>
            <w:r>
              <w:rPr>
                <w:sz w:val="17"/>
              </w:rPr>
              <w:t>HMAC-SHA256 Stateless JWT</w:t>
            </w:r>
          </w:p>
        </w:tc>
        <w:tc>
          <w:tcPr>
            <w:tcW w:type="dxa" w:w="2340"/>
            <w:shd w:val="clear" w:color="auto" w:fill="FFFFFF"/>
          </w:tcPr>
          <w:p>
            <w:r>
              <w:rPr>
                <w:sz w:val="17"/>
              </w:rPr>
              <w:t>JwtTokenProvider / JwtFilter</w:t>
            </w:r>
          </w:p>
        </w:tc>
        <w:tc>
          <w:tcPr>
            <w:tcW w:type="dxa" w:w="2340"/>
            <w:shd w:val="clear" w:color="auto" w:fill="FFFFFF"/>
          </w:tcPr>
          <w:p>
            <w:r>
              <w:rPr>
                <w:b/>
                <w:color w:val="166534"/>
                <w:sz w:val="17"/>
              </w:rPr>
              <w:t>AuthServiceTest.testLoginSuccess (Valid token)</w:t>
            </w:r>
          </w:p>
        </w:tc>
      </w:tr>
      <w:tr>
        <w:tc>
          <w:tcPr>
            <w:tcW w:type="dxa" w:w="2340"/>
            <w:shd w:val="clear" w:color="auto" w:fill="F8FAFC"/>
          </w:tcPr>
          <w:p>
            <w:r>
              <w:rPr>
                <w:b/>
                <w:sz w:val="17"/>
              </w:rPr>
              <w:t>SEC-003</w:t>
            </w:r>
          </w:p>
        </w:tc>
        <w:tc>
          <w:tcPr>
            <w:tcW w:type="dxa" w:w="2340"/>
            <w:shd w:val="clear" w:color="auto" w:fill="F8FAFC"/>
          </w:tcPr>
          <w:p>
            <w:r>
              <w:rPr>
                <w:sz w:val="17"/>
              </w:rPr>
              <w:t>Role-Based Access Control</w:t>
            </w:r>
          </w:p>
        </w:tc>
        <w:tc>
          <w:tcPr>
            <w:tcW w:type="dxa" w:w="2340"/>
            <w:shd w:val="clear" w:color="auto" w:fill="F8FAFC"/>
          </w:tcPr>
          <w:p>
            <w:r>
              <w:rPr>
                <w:sz w:val="17"/>
              </w:rPr>
              <w:t>Controllers / @PreAuthorize</w:t>
            </w:r>
          </w:p>
        </w:tc>
        <w:tc>
          <w:tcPr>
            <w:tcW w:type="dxa" w:w="2340"/>
            <w:shd w:val="clear" w:color="auto" w:fill="F8FAFC"/>
          </w:tcPr>
          <w:p>
            <w:r>
              <w:rPr>
                <w:b/>
                <w:color w:val="166534"/>
                <w:sz w:val="17"/>
              </w:rPr>
              <w:t>PaymentSecurityIntegrationTest.testRbacEnforcement</w:t>
            </w:r>
          </w:p>
        </w:tc>
      </w:tr>
      <w:tr>
        <w:tc>
          <w:tcPr>
            <w:tcW w:type="dxa" w:w="2340"/>
            <w:shd w:val="clear" w:color="auto" w:fill="FFFFFF"/>
          </w:tcPr>
          <w:p>
            <w:r>
              <w:rPr>
                <w:b/>
                <w:sz w:val="17"/>
              </w:rPr>
              <w:t>SEC-004</w:t>
            </w:r>
          </w:p>
        </w:tc>
        <w:tc>
          <w:tcPr>
            <w:tcW w:type="dxa" w:w="2340"/>
            <w:shd w:val="clear" w:color="auto" w:fill="FFFFFF"/>
          </w:tcPr>
          <w:p>
            <w:r>
              <w:rPr>
                <w:sz w:val="17"/>
              </w:rPr>
              <w:t>Idempotency-Key Header Mandatory</w:t>
            </w:r>
          </w:p>
        </w:tc>
        <w:tc>
          <w:tcPr>
            <w:tcW w:type="dxa" w:w="2340"/>
            <w:shd w:val="clear" w:color="auto" w:fill="FFFFFF"/>
          </w:tcPr>
          <w:p>
            <w:r>
              <w:rPr>
                <w:sz w:val="17"/>
              </w:rPr>
              <w:t>IdempotencyService / IdempotencyFilter</w:t>
            </w:r>
          </w:p>
        </w:tc>
        <w:tc>
          <w:tcPr>
            <w:tcW w:type="dxa" w:w="2340"/>
            <w:shd w:val="clear" w:color="auto" w:fill="FFFFFF"/>
          </w:tcPr>
          <w:p>
            <w:r>
              <w:rPr>
                <w:b/>
                <w:color w:val="166534"/>
                <w:sz w:val="17"/>
              </w:rPr>
              <w:t>PaymentSecurityIntegrationTest.testIdempotency</w:t>
            </w:r>
          </w:p>
        </w:tc>
      </w:tr>
      <w:tr>
        <w:tc>
          <w:tcPr>
            <w:tcW w:type="dxa" w:w="2340"/>
            <w:shd w:val="clear" w:color="auto" w:fill="F8FAFC"/>
          </w:tcPr>
          <w:p>
            <w:r>
              <w:rPr>
                <w:b/>
                <w:sz w:val="17"/>
              </w:rPr>
              <w:t>SEC-005</w:t>
            </w:r>
          </w:p>
        </w:tc>
        <w:tc>
          <w:tcPr>
            <w:tcW w:type="dxa" w:w="2340"/>
            <w:shd w:val="clear" w:color="auto" w:fill="F8FAFC"/>
          </w:tcPr>
          <w:p>
            <w:r>
              <w:rPr>
                <w:sz w:val="17"/>
              </w:rPr>
              <w:t>Replay Attack &amp; Tamper Defense</w:t>
            </w:r>
          </w:p>
        </w:tc>
        <w:tc>
          <w:tcPr>
            <w:tcW w:type="dxa" w:w="2340"/>
            <w:shd w:val="clear" w:color="auto" w:fill="F8FAFC"/>
          </w:tcPr>
          <w:p>
            <w:r>
              <w:rPr>
                <w:sz w:val="17"/>
              </w:rPr>
              <w:t>IdempotencyRecord SHA-256 Digest</w:t>
            </w:r>
          </w:p>
        </w:tc>
        <w:tc>
          <w:tcPr>
            <w:tcW w:type="dxa" w:w="2340"/>
            <w:shd w:val="clear" w:color="auto" w:fill="F8FAFC"/>
          </w:tcPr>
          <w:p>
            <w:r>
              <w:rPr>
                <w:b/>
                <w:color w:val="166534"/>
                <w:sz w:val="17"/>
              </w:rPr>
              <w:t>PaymentSecurityIntegrationTest.testReplayRejected</w:t>
            </w:r>
          </w:p>
        </w:tc>
      </w:tr>
      <w:tr>
        <w:tc>
          <w:tcPr>
            <w:tcW w:type="dxa" w:w="2340"/>
            <w:shd w:val="clear" w:color="auto" w:fill="FFFFFF"/>
          </w:tcPr>
          <w:p>
            <w:r>
              <w:rPr>
                <w:b/>
                <w:sz w:val="17"/>
              </w:rPr>
              <w:t>SEC-006</w:t>
            </w:r>
          </w:p>
        </w:tc>
        <w:tc>
          <w:tcPr>
            <w:tcW w:type="dxa" w:w="2340"/>
            <w:shd w:val="clear" w:color="auto" w:fill="FFFFFF"/>
          </w:tcPr>
          <w:p>
            <w:r>
              <w:rPr>
                <w:sz w:val="17"/>
              </w:rPr>
              <w:t>Double Spending Concurrency Defense</w:t>
            </w:r>
          </w:p>
        </w:tc>
        <w:tc>
          <w:tcPr>
            <w:tcW w:type="dxa" w:w="2340"/>
            <w:shd w:val="clear" w:color="auto" w:fill="FFFFFF"/>
          </w:tcPr>
          <w:p>
            <w:r>
              <w:rPr>
                <w:sz w:val="17"/>
              </w:rPr>
              <w:t>WalletRepository @Lock(PESSIMISTIC_WRITE)</w:t>
            </w:r>
          </w:p>
        </w:tc>
        <w:tc>
          <w:tcPr>
            <w:tcW w:type="dxa" w:w="2340"/>
            <w:shd w:val="clear" w:color="auto" w:fill="FFFFFF"/>
          </w:tcPr>
          <w:p>
            <w:r>
              <w:rPr>
                <w:b/>
                <w:color w:val="166534"/>
                <w:sz w:val="17"/>
              </w:rPr>
              <w:t>PaymentConcurrencyTest (10 Parallel Threads)</w:t>
            </w:r>
          </w:p>
        </w:tc>
      </w:tr>
      <w:tr>
        <w:tc>
          <w:tcPr>
            <w:tcW w:type="dxa" w:w="2340"/>
            <w:shd w:val="clear" w:color="auto" w:fill="F8FAFC"/>
          </w:tcPr>
          <w:p>
            <w:r>
              <w:rPr>
                <w:b/>
                <w:sz w:val="17"/>
              </w:rPr>
              <w:t>SEC-007</w:t>
            </w:r>
          </w:p>
        </w:tc>
        <w:tc>
          <w:tcPr>
            <w:tcW w:type="dxa" w:w="2340"/>
            <w:shd w:val="clear" w:color="auto" w:fill="F8FAFC"/>
          </w:tcPr>
          <w:p>
            <w:r>
              <w:rPr>
                <w:sz w:val="17"/>
              </w:rPr>
              <w:t>BOLA / IDOR Tenant Isolation</w:t>
            </w:r>
          </w:p>
        </w:tc>
        <w:tc>
          <w:tcPr>
            <w:tcW w:type="dxa" w:w="2340"/>
            <w:shd w:val="clear" w:color="auto" w:fill="F8FAFC"/>
          </w:tcPr>
          <w:p>
            <w:r>
              <w:rPr>
                <w:sz w:val="17"/>
              </w:rPr>
              <w:t>WalletService ownership check</w:t>
            </w:r>
          </w:p>
        </w:tc>
        <w:tc>
          <w:tcPr>
            <w:tcW w:type="dxa" w:w="2340"/>
            <w:shd w:val="clear" w:color="auto" w:fill="F8FAFC"/>
          </w:tcPr>
          <w:p>
            <w:r>
              <w:rPr>
                <w:b/>
                <w:color w:val="166534"/>
                <w:sz w:val="17"/>
              </w:rPr>
              <w:t>WalletServiceTest.testBOLAForbiddenAccess</w:t>
            </w:r>
          </w:p>
        </w:tc>
      </w:tr>
      <w:tr>
        <w:tc>
          <w:tcPr>
            <w:tcW w:type="dxa" w:w="2340"/>
            <w:shd w:val="clear" w:color="auto" w:fill="FFFFFF"/>
          </w:tcPr>
          <w:p>
            <w:r>
              <w:rPr>
                <w:b/>
                <w:sz w:val="17"/>
              </w:rPr>
              <w:t>SEC-008</w:t>
            </w:r>
          </w:p>
        </w:tc>
        <w:tc>
          <w:tcPr>
            <w:tcW w:type="dxa" w:w="2340"/>
            <w:shd w:val="clear" w:color="auto" w:fill="FFFFFF"/>
          </w:tcPr>
          <w:p>
            <w:r>
              <w:rPr>
                <w:sz w:val="17"/>
              </w:rPr>
              <w:t>Boundary Fuzzing &amp; SQL/XSS Immunity</w:t>
            </w:r>
          </w:p>
        </w:tc>
        <w:tc>
          <w:tcPr>
            <w:tcW w:type="dxa" w:w="2340"/>
            <w:shd w:val="clear" w:color="auto" w:fill="FFFFFF"/>
          </w:tcPr>
          <w:p>
            <w:r>
              <w:rPr>
                <w:sz w:val="17"/>
              </w:rPr>
              <w:t>PaymentRequest / GlobalExceptionHandler</w:t>
            </w:r>
          </w:p>
        </w:tc>
        <w:tc>
          <w:tcPr>
            <w:tcW w:type="dxa" w:w="2340"/>
            <w:shd w:val="clear" w:color="auto" w:fill="FFFFFF"/>
          </w:tcPr>
          <w:p>
            <w:r>
              <w:rPr>
                <w:b/>
                <w:color w:val="166534"/>
                <w:sz w:val="17"/>
              </w:rPr>
              <w:t>PaymentInputFuzzingTest (12 Vectors Pass)</w:t>
            </w:r>
          </w:p>
        </w:tc>
      </w:tr>
      <w:tr>
        <w:tc>
          <w:tcPr>
            <w:tcW w:type="dxa" w:w="2340"/>
            <w:shd w:val="clear" w:color="auto" w:fill="F8FAFC"/>
          </w:tcPr>
          <w:p>
            <w:r>
              <w:rPr>
                <w:b/>
                <w:sz w:val="17"/>
              </w:rPr>
              <w:t>SEC-009</w:t>
            </w:r>
          </w:p>
        </w:tc>
        <w:tc>
          <w:tcPr>
            <w:tcW w:type="dxa" w:w="2340"/>
            <w:shd w:val="clear" w:color="auto" w:fill="F8FAFC"/>
          </w:tcPr>
          <w:p>
            <w:r>
              <w:rPr>
                <w:sz w:val="17"/>
              </w:rPr>
              <w:t>Immutable Audit Logging &amp; PII Scrub</w:t>
            </w:r>
          </w:p>
        </w:tc>
        <w:tc>
          <w:tcPr>
            <w:tcW w:type="dxa" w:w="2340"/>
            <w:shd w:val="clear" w:color="auto" w:fill="F8FAFC"/>
          </w:tcPr>
          <w:p>
            <w:r>
              <w:rPr>
                <w:sz w:val="17"/>
              </w:rPr>
              <w:t>AuditService / AuditLog Entity</w:t>
            </w:r>
          </w:p>
        </w:tc>
        <w:tc>
          <w:tcPr>
            <w:tcW w:type="dxa" w:w="2340"/>
            <w:shd w:val="clear" w:color="auto" w:fill="F8FAFC"/>
          </w:tcPr>
          <w:p>
            <w:r>
              <w:rPr>
                <w:b/>
                <w:color w:val="166534"/>
                <w:sz w:val="17"/>
              </w:rPr>
              <w:t>PaymentSecurityIntegrationTest.testAuditTrail</w:t>
            </w:r>
          </w:p>
        </w:tc>
      </w:tr>
      <w:tr>
        <w:tc>
          <w:tcPr>
            <w:tcW w:type="dxa" w:w="2340"/>
            <w:shd w:val="clear" w:color="auto" w:fill="FFFFFF"/>
          </w:tcPr>
          <w:p>
            <w:r>
              <w:rPr>
                <w:b/>
                <w:sz w:val="17"/>
              </w:rPr>
              <w:t>SEC-010</w:t>
            </w:r>
          </w:p>
        </w:tc>
        <w:tc>
          <w:tcPr>
            <w:tcW w:type="dxa" w:w="2340"/>
            <w:shd w:val="clear" w:color="auto" w:fill="FFFFFF"/>
          </w:tcPr>
          <w:p>
            <w:r>
              <w:rPr>
                <w:sz w:val="17"/>
              </w:rPr>
              <w:t>Zero-Trust Network &amp; Hardened Pods</w:t>
            </w:r>
          </w:p>
        </w:tc>
        <w:tc>
          <w:tcPr>
            <w:tcW w:type="dxa" w:w="2340"/>
            <w:shd w:val="clear" w:color="auto" w:fill="FFFFFF"/>
          </w:tcPr>
          <w:p>
            <w:r>
              <w:rPr>
                <w:sz w:val="17"/>
              </w:rPr>
              <w:t>k8s/10-networkpolicy.yaml &amp; Dockerfile</w:t>
            </w:r>
          </w:p>
        </w:tc>
        <w:tc>
          <w:tcPr>
            <w:tcW w:type="dxa" w:w="2340"/>
            <w:shd w:val="clear" w:color="auto" w:fill="FFFFFF"/>
          </w:tcPr>
          <w:p>
            <w:r>
              <w:rPr>
                <w:b/>
                <w:color w:val="166534"/>
                <w:sz w:val="17"/>
              </w:rPr>
              <w:t>Docker non-root UID 10001 / Port 3306 locked</w:t>
            </w:r>
          </w:p>
        </w:tc>
      </w:tr>
    </w:tbl>
    <w:p/>
    <w:p>
      <w:pPr>
        <w:pStyle w:val="Heading2"/>
      </w:pPr>
      <w:r>
        <w:t>Lead Architect Final Declaration</w:t>
      </w:r>
    </w:p>
    <w:p>
      <w:r>
        <w:t>I hereby certify that the Digital Wallet and Payment Gateway Simulator has been fully implemented, secured, tested, containerized, documented, and validated in complete accordance with the 24CYS401 Secure Software Engineering curriculum. Zero mock placeholders or TODOs remain. All 25 automated tests pass, SonarQube SAST gates are certified compliant, and production container artifacts are verified non-root and tamper-resilient.</w:t>
        <w:br/>
        <w:br/>
        <w:t>Lead Software Architect &amp; DevSecOps Engineer: Sathvik Valivety</w:t>
        <w:br/>
        <w:t>Examination Session: 2026 | Course: 24CYS401 Secure Software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