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Flow Analysis for Critical Sensitive Assets</w:t>
      </w:r>
    </w:p>
    <w:p>
      <w:r>
        <w:t>Phase 7 Deliverable: Threat Modeling - 24CYS401 Lab Examination</w:t>
      </w:r>
    </w:p>
    <w:p>
      <w:pPr>
        <w:pStyle w:val="Heading1"/>
      </w:pPr>
      <w:r>
        <w:t>1. Executive Summary</w:t>
      </w:r>
    </w:p>
    <w:p>
      <w:r>
        <w:t>This Information Flow Analysis tracks three critical sensitive assets as they traverse system trust boundaries, processes, temporary memory caches, and persistent stores: (1) User Authentication Credentials &amp; JWTs, (2) Wallet Balance State Mutations, and (3) Idempotent Payment Request Payloads. The analysis verifies non-interference, confidentiality preservation, and integrity enforcement at each stage.</w:t>
      </w:r>
    </w:p>
    <w:p>
      <w:pPr>
        <w:pStyle w:val="Heading1"/>
      </w:pPr>
      <w:r>
        <w:t>2. Asset 1: User Credentials &amp; JWT Bearer Token Flow</w:t>
      </w:r>
    </w:p>
    <w:p>
      <w:r>
        <w:t>• Ingress: Traverses Untrusted Public Zone (React Client) -&gt; TB-1 -&gt; API Gateway over TLS.</w:t>
        <w:br/>
        <w:t>• Transit: Processed in memory by JwtAuthenticationFilter and AuthenticationManager. Plaintext password is verified against the BCrypt hash fetched from D1 (users table) and immediately eligible for garbage collection.</w:t>
        <w:br/>
        <w:t>• Storage: Passwords are NEVER persisted in plaintext. Only BCrypt hashes (work factor 12) exist in D1. JWT tokens are signed statelessly using HMAC-SHA256 with server-side secrets.</w:t>
        <w:br/>
        <w:t>• Egress: JWT token returned in JSON response body. Filter scrubbers prevent token emission in application logs.</w:t>
      </w:r>
    </w:p>
    <w:p>
      <w:pPr>
        <w:pStyle w:val="Heading1"/>
      </w:pPr>
      <w:r>
        <w:t>3. Asset 2: Wallet Balance State Mutation Flow</w:t>
      </w:r>
    </w:p>
    <w:p>
      <w:r>
        <w:t>• Ingress: User submits payment authorization request specifying merchant ID and amount.</w:t>
        <w:br/>
        <w:t>• Transit &amp; Trust Boundary TB-2: Crossed into core service layer. WalletService acquires PESSIMISTIC_WRITE lock on sender row.</w:t>
        <w:br/>
        <w:t>• Integrity Check: Validates sender balance &gt;= amount and amount &gt; 0. Rejects negative or NaN amounts.</w:t>
        <w:br/>
        <w:t>• Database Mutation: Atomic SQL update executed within Isolation.READ_COMMITTED transaction. Both debit (user) and credit (merchant) commit simultaneously. MariaDB schema constraint CHECK (balance &gt;= 0) serves as fail-safe guarantee.</w:t>
        <w:br/>
        <w:t>• Audit Record: Dispatches immutable audit record to D4 store before releasing lock.</w:t>
      </w:r>
    </w:p>
    <w:p>
      <w:pPr>
        <w:pStyle w:val="Heading1"/>
      </w:pPr>
      <w:r>
        <w:t>4. Asset 3: Idempotent Payment Request Payload Flow</w:t>
      </w:r>
    </w:p>
    <w:p>
      <w:r>
        <w:t>• Ingress: Request arrives with client-provided HTTP header .</w:t>
        <w:br/>
        <w:t>• Hashing: Process 3.0 computes SHA-256 cryptographic digest of canonical request body.</w:t>
        <w:br/>
        <w:t>• Cache Check: Queries D3 (idempotency_keys table). If match exists:</w:t>
        <w:br/>
        <w:t xml:space="preserve">   - Same Hash: Returns cached response directly, short-circuiting financial execution.</w:t>
        <w:br/>
        <w:t xml:space="preserve">   - Different Hash: Flags REPLAY_DETECTED, generates high-priority security audit alert, and aborts with HTTP 409 Conflict.</w:t>
        <w:br/>
        <w:t>• Finalization: If new, transaction processes to completion and response payload is cached in D3.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C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