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B8860B"/>
          <w:sz w:val="60"/>
          <w:szCs w:val="60"/>
        </w:rPr>
        <w:t xml:space="preserve">GOLD RESERVE ANALYTICS PLATFORM</w:t>
      </w:r>
    </w:p>
    <w:p>
      <w:pPr>
        <w:spacing w:before="80" w:after="60"/>
        <w:jc w:val="center"/>
      </w:pPr>
      <w:r>
        <w:rPr>
          <w:rFonts w:ascii="Arial" w:cs="Arial" w:eastAsia="Arial" w:hAnsi="Arial"/>
          <w:b/>
          <w:bCs/>
          <w:color w:val="2E4057"/>
          <w:sz w:val="36"/>
          <w:szCs w:val="36"/>
        </w:rPr>
        <w:t xml:space="preserve">v2a Phase Report</w:t>
      </w:r>
    </w:p>
    <w:p>
      <w:pPr>
        <w:pBdr>
          <w:bottom w:val="single" w:color="B8860B" w:sz="6" w:space="10"/>
        </w:pBdr>
        <w:spacing w:before="0" w:after="240"/>
        <w:jc w:val="center"/>
      </w:pPr>
      <w:r>
        <w:rPr>
          <w:rFonts w:ascii="Arial" w:cs="Arial" w:eastAsia="Arial" w:hAnsi="Arial"/>
          <w:i/>
          <w:iCs/>
          <w:color w:val="666666"/>
          <w:sz w:val="24"/>
          <w:szCs w:val="24"/>
        </w:rPr>
        <w:t xml:space="preserve">USD Dominance Layer — Data Engineering, Analysis &amp; Key Findings</w:t>
      </w:r>
    </w:p>
    <w:p>
      <w:pPr>
        <w:spacing w:before="160" w:after="0"/>
      </w:pPr>
      <w:r>
        <w:t xml:space="preserve"/>
      </w:r>
    </w:p>
    <w:p>
      <w:pPr>
        <w:jc w:val="center"/>
      </w:pPr>
      <w:r>
        <w:rPr>
          <w:rFonts w:ascii="Arial" w:cs="Arial" w:eastAsia="Arial" w:hAnsi="Arial"/>
          <w:color w:val="185FA5"/>
          <w:sz w:val="22"/>
          <w:szCs w:val="22"/>
        </w:rPr>
        <w:t xml:space="preserve">github.com/sathwikarr/gold-reserve-platform</w:t>
      </w:r>
    </w:p>
    <w:p>
      <w:pPr>
        <w:spacing w:before="60" w:after="360"/>
        <w:jc w:val="center"/>
      </w:pPr>
      <w:r>
        <w:rPr>
          <w:rFonts w:ascii="Arial" w:cs="Arial" w:eastAsia="Arial" w:hAnsi="Arial"/>
          <w:color w:val="666666"/>
          <w:sz w:val="22"/>
          <w:szCs w:val="22"/>
        </w:rPr>
        <w:t xml:space="preserve">March 22,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shd w:fill="E6F1FB" w:val="clear"/>
            <w:tcMar>
              <w:top w:type="dxa" w:w="140"/>
              <w:left w:type="dxa" w:w="180"/>
              <w:bottom w:type="dxa" w:w="140"/>
              <w:right w:type="dxa" w:w="180"/>
            </w:tcMar>
          </w:tcPr>
          <w:p>
            <w:pPr>
              <w:jc w:val="center"/>
            </w:pPr>
            <w:r>
              <w:rPr>
                <w:rFonts w:ascii="Arial" w:cs="Arial" w:eastAsia="Arial" w:hAnsi="Arial"/>
                <w:b/>
                <w:bCs/>
                <w:color w:val="185FA5"/>
                <w:sz w:val="40"/>
                <w:szCs w:val="40"/>
              </w:rPr>
              <w:t xml:space="preserve">3</w:t>
            </w:r>
          </w:p>
          <w:p>
            <w:pPr>
              <w:jc w:val="center"/>
            </w:pPr>
            <w:r>
              <w:rPr>
                <w:rFonts w:ascii="Arial" w:cs="Arial" w:eastAsia="Arial" w:hAnsi="Arial"/>
                <w:color w:val="185FA5"/>
                <w:sz w:val="18"/>
                <w:szCs w:val="18"/>
              </w:rPr>
              <w:t xml:space="preserve">New scripts built</w:t>
            </w:r>
          </w:p>
        </w:tc>
        <w:tc>
          <w:tcPr>
            <w:tcW w:type="dxa" w:w="1872"/>
            <w:tcBorders>
              <w:top w:val="none" w:color="FFFFFF" w:sz="0"/>
              <w:left w:val="none" w:color="FFFFFF" w:sz="0"/>
              <w:bottom w:val="none" w:color="FFFFFF" w:sz="0"/>
              <w:right w:val="none" w:color="FFFFFF" w:sz="0"/>
            </w:tcBorders>
            <w:shd w:fill="EAF3DE" w:val="clear"/>
            <w:tcMar>
              <w:top w:type="dxa" w:w="140"/>
              <w:left w:type="dxa" w:w="180"/>
              <w:bottom w:type="dxa" w:w="140"/>
              <w:right w:type="dxa" w:w="180"/>
            </w:tcMar>
          </w:tcPr>
          <w:p>
            <w:pPr>
              <w:jc w:val="center"/>
            </w:pPr>
            <w:r>
              <w:rPr>
                <w:rFonts w:ascii="Arial" w:cs="Arial" w:eastAsia="Arial" w:hAnsi="Arial"/>
                <w:b/>
                <w:bCs/>
                <w:color w:val="1A6B3C"/>
                <w:sz w:val="40"/>
                <w:szCs w:val="40"/>
              </w:rPr>
              <w:t xml:space="preserve">4</w:t>
            </w:r>
          </w:p>
          <w:p>
            <w:pPr>
              <w:jc w:val="center"/>
            </w:pPr>
            <w:r>
              <w:rPr>
                <w:rFonts w:ascii="Arial" w:cs="Arial" w:eastAsia="Arial" w:hAnsi="Arial"/>
                <w:color w:val="1A6B3C"/>
                <w:sz w:val="18"/>
                <w:szCs w:val="18"/>
              </w:rPr>
              <w:t xml:space="preserve">New data files</w:t>
            </w:r>
          </w:p>
        </w:tc>
        <w:tc>
          <w:tcPr>
            <w:tcW w:type="dxa" w:w="1872"/>
            <w:tcBorders>
              <w:top w:val="none" w:color="FFFFFF" w:sz="0"/>
              <w:left w:val="none" w:color="FFFFFF" w:sz="0"/>
              <w:bottom w:val="none" w:color="FFFFFF" w:sz="0"/>
              <w:right w:val="none" w:color="FFFFFF" w:sz="0"/>
            </w:tcBorders>
            <w:shd w:fill="FAEEDA" w:val="clear"/>
            <w:tcMar>
              <w:top w:type="dxa" w:w="140"/>
              <w:left w:type="dxa" w:w="180"/>
              <w:bottom w:type="dxa" w:w="140"/>
              <w:right w:type="dxa" w:w="180"/>
            </w:tcMar>
          </w:tcPr>
          <w:p>
            <w:pPr>
              <w:jc w:val="center"/>
            </w:pPr>
            <w:r>
              <w:rPr>
                <w:rFonts w:ascii="Arial" w:cs="Arial" w:eastAsia="Arial" w:hAnsi="Arial"/>
                <w:b/>
                <w:bCs/>
                <w:color w:val="854F0B"/>
                <w:sz w:val="40"/>
                <w:szCs w:val="40"/>
              </w:rPr>
              <w:t xml:space="preserve">4,283</w:t>
            </w:r>
          </w:p>
          <w:p>
            <w:pPr>
              <w:jc w:val="center"/>
            </w:pPr>
            <w:r>
              <w:rPr>
                <w:rFonts w:ascii="Arial" w:cs="Arial" w:eastAsia="Arial" w:hAnsi="Arial"/>
                <w:color w:val="854F0B"/>
                <w:sz w:val="18"/>
                <w:szCs w:val="18"/>
              </w:rPr>
              <w:t xml:space="preserve">Master panel rows</w:t>
            </w:r>
          </w:p>
        </w:tc>
        <w:tc>
          <w:tcPr>
            <w:tcW w:type="dxa" w:w="1872"/>
            <w:tcBorders>
              <w:top w:val="none" w:color="FFFFFF" w:sz="0"/>
              <w:left w:val="none" w:color="FFFFFF" w:sz="0"/>
              <w:bottom w:val="none" w:color="FFFFFF" w:sz="0"/>
              <w:right w:val="none" w:color="FFFFFF" w:sz="0"/>
            </w:tcBorders>
            <w:shd w:fill="EEEDFE" w:val="clear"/>
            <w:tcMar>
              <w:top w:type="dxa" w:w="140"/>
              <w:left w:type="dxa" w:w="180"/>
              <w:bottom w:type="dxa" w:w="140"/>
              <w:right w:type="dxa" w:w="180"/>
            </w:tcMar>
          </w:tcPr>
          <w:p>
            <w:pPr>
              <w:jc w:val="center"/>
            </w:pPr>
            <w:r>
              <w:rPr>
                <w:rFonts w:ascii="Arial" w:cs="Arial" w:eastAsia="Arial" w:hAnsi="Arial"/>
                <w:b/>
                <w:bCs/>
                <w:color w:val="534AB7"/>
                <w:sz w:val="40"/>
                <w:szCs w:val="40"/>
              </w:rPr>
              <w:t xml:space="preserve">28</w:t>
            </w:r>
          </w:p>
          <w:p>
            <w:pPr>
              <w:jc w:val="center"/>
            </w:pPr>
            <w:r>
              <w:rPr>
                <w:rFonts w:ascii="Arial" w:cs="Arial" w:eastAsia="Arial" w:hAnsi="Arial"/>
                <w:color w:val="534AB7"/>
                <w:sz w:val="18"/>
                <w:szCs w:val="18"/>
              </w:rPr>
              <w:t xml:space="preserve">Master panel cols</w:t>
            </w:r>
          </w:p>
        </w:tc>
        <w:tc>
          <w:tcPr>
            <w:tcW w:type="dxa" w:w="1872"/>
            <w:tcBorders>
              <w:top w:val="none" w:color="FFFFFF" w:sz="0"/>
              <w:left w:val="none" w:color="FFFFFF" w:sz="0"/>
              <w:bottom w:val="none" w:color="FFFFFF" w:sz="0"/>
              <w:right w:val="none" w:color="FFFFFF" w:sz="0"/>
            </w:tcBorders>
            <w:shd w:fill="FAECE7" w:val="clear"/>
            <w:tcMar>
              <w:top w:type="dxa" w:w="140"/>
              <w:left w:type="dxa" w:w="180"/>
              <w:bottom w:type="dxa" w:w="140"/>
              <w:right w:type="dxa" w:w="180"/>
            </w:tcMar>
          </w:tcPr>
          <w:p>
            <w:pPr>
              <w:jc w:val="center"/>
            </w:pPr>
            <w:r>
              <w:rPr>
                <w:rFonts w:ascii="Arial" w:cs="Arial" w:eastAsia="Arial" w:hAnsi="Arial"/>
                <w:b/>
                <w:bCs/>
                <w:color w:val="993C1D"/>
                <w:sz w:val="40"/>
                <w:szCs w:val="40"/>
              </w:rPr>
              <w:t xml:space="preserve">4</w:t>
            </w:r>
          </w:p>
          <w:p>
            <w:pPr>
              <w:jc w:val="center"/>
            </w:pPr>
            <w:r>
              <w:rPr>
                <w:rFonts w:ascii="Arial" w:cs="Arial" w:eastAsia="Arial" w:hAnsi="Arial"/>
                <w:color w:val="993C1D"/>
                <w:sz w:val="18"/>
                <w:szCs w:val="18"/>
              </w:rPr>
              <w:t xml:space="preserve">New git commits</w:t>
            </w:r>
          </w:p>
        </w:tc>
      </w:tr>
    </w:tbl>
    <w:p>
      <w:pPr>
        <w:spacing w:before="4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1. What is v2a and Why Was It Built</w:t>
      </w:r>
    </w:p>
    <w:p>
      <w:pPr>
        <w:spacing w:before="80" w:after="80"/>
      </w:pPr>
      <w:r>
        <w:rPr>
          <w:rFonts w:ascii="Arial" w:cs="Arial" w:eastAsia="Arial" w:hAnsi="Arial"/>
          <w:b w:val="false"/>
          <w:bCs w:val="false"/>
          <w:i w:val="false"/>
          <w:iCs w:val="false"/>
          <w:color w:val="1C1C1C"/>
          <w:sz w:val="22"/>
          <w:szCs w:val="22"/>
        </w:rPr>
        <w:t xml:space="preserve">v1 answered one half of the project question: which countries are buying gold, how much, and how consistently? It built a solid country-level gold panel with feature engineering.</w:t>
      </w:r>
    </w:p>
    <w:p>
      <w:pPr>
        <w:spacing w:before="60" w:after="0"/>
      </w:pPr>
      <w:r>
        <w:t xml:space="preserve"/>
      </w:r>
    </w:p>
    <w:p>
      <w:pPr>
        <w:spacing w:before="80" w:after="80"/>
      </w:pPr>
      <w:r>
        <w:rPr>
          <w:rFonts w:ascii="Arial" w:cs="Arial" w:eastAsia="Arial" w:hAnsi="Arial"/>
          <w:b w:val="false"/>
          <w:bCs w:val="false"/>
          <w:i w:val="false"/>
          <w:iCs w:val="false"/>
          <w:color w:val="1C1C1C"/>
          <w:sz w:val="22"/>
          <w:szCs w:val="22"/>
        </w:rPr>
        <w:t xml:space="preserve">But v1 had a major gap: it said nothing about why. The project thesis is that gold accumulation is driven by declining trust in the US dollar — so we needed to actually measure US dollar dominance over time and connect it to the gold buying behavior already documented in v1.</w:t>
      </w:r>
    </w:p>
    <w:p>
      <w:pPr>
        <w:spacing w:before="60" w:after="0"/>
      </w:pPr>
      <w:r>
        <w:t xml:space="preserve"/>
      </w:r>
    </w:p>
    <w:p>
      <w:pPr>
        <w:pBdr>
          <w:left w:val="single" w:color="B8860B" w:sz="20" w:space="10"/>
        </w:pBdr>
        <w:shd w:fill="FDFAF0" w:val="clear"/>
        <w:spacing w:before="140" w:after="140"/>
        <w:ind w:left="400" w:right="200"/>
      </w:pPr>
      <w:r>
        <w:rPr>
          <w:rFonts w:ascii="Arial" w:cs="Arial" w:eastAsia="Arial" w:hAnsi="Arial"/>
          <w:i/>
          <w:iCs/>
          <w:color w:val="1C1C1C"/>
          <w:sz w:val="22"/>
          <w:szCs w:val="22"/>
        </w:rPr>
        <w:t xml:space="preserve">v2a adds the world-level context layer: how has the USD's share of global reserves changed over 25 years, and does that change correlate with gold accumulation? This is the layer that proves or disproves the core thesis.</w:t>
      </w:r>
    </w:p>
    <w:p>
      <w:pPr>
        <w:spacing w:before="100" w:after="0"/>
      </w:pPr>
      <w:r>
        <w:t xml:space="preserve"/>
      </w:r>
    </w:p>
    <w:p>
      <w:pPr>
        <w:spacing w:before="80" w:after="80"/>
      </w:pPr>
      <w:r>
        <w:rPr>
          <w:rFonts w:ascii="Arial" w:cs="Arial" w:eastAsia="Arial" w:hAnsi="Arial"/>
          <w:b w:val="false"/>
          <w:bCs w:val="false"/>
          <w:i w:val="false"/>
          <w:iCs w:val="false"/>
          <w:color w:val="1C1C1C"/>
          <w:sz w:val="22"/>
          <w:szCs w:val="22"/>
        </w:rPr>
        <w:t xml:space="preserve">Three new scripts were built in v2a: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Script</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3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does</w:t>
            </w:r>
          </w:p>
        </w:tc>
      </w:tr>
      <w:tr>
        <w:tc>
          <w:tcPr>
            <w:tcW w:type="dxa" w:w="3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src/ingestion/imf_cofer.py</w:t>
            </w:r>
          </w:p>
        </w:tc>
        <w:tc>
          <w:tcPr>
            <w:tcW w:type="dxa" w:w="240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Bronze</w:t>
            </w:r>
          </w:p>
        </w:tc>
        <w:tc>
          <w:tcPr>
            <w:tcW w:type="dxa" w:w="37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Fetches World Bank GDP + US reserves, seeds IMF COFER USD share data</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src/cleaning/clean_usd_dominance.py</w:t>
            </w:r>
          </w:p>
        </w:tc>
        <w:tc>
          <w:tcPr>
            <w:tcW w:type="dxa" w:w="24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bCs/>
                <w:color w:val="1A6B3C"/>
                <w:sz w:val="20"/>
                <w:szCs w:val="20"/>
              </w:rPr>
              <w:t xml:space="preserve">Silver</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Cleans, scales, derives drawdown and world gold share columns</w:t>
            </w:r>
          </w:p>
        </w:tc>
      </w:tr>
      <w:tr>
        <w:tc>
          <w:tcPr>
            <w:tcW w:type="dxa" w:w="3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src/features/build_master_panel.py</w:t>
            </w:r>
          </w:p>
        </w:tc>
        <w:tc>
          <w:tcPr>
            <w:tcW w:type="dxa" w:w="240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jc w:val="left"/>
            </w:pPr>
            <w:r>
              <w:rPr>
                <w:rFonts w:ascii="Arial" w:cs="Arial" w:eastAsia="Arial" w:hAnsi="Arial"/>
                <w:b/>
                <w:bCs/>
                <w:color w:val="185FA5"/>
                <w:sz w:val="20"/>
                <w:szCs w:val="20"/>
              </w:rPr>
              <w:t xml:space="preserve">Gold</w:t>
            </w:r>
          </w:p>
        </w:tc>
        <w:tc>
          <w:tcPr>
            <w:tcW w:type="dxa" w:w="37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Merges country panel with USD dominance on year key — creates master_panel.csv</w:t>
            </w:r>
          </w:p>
        </w:tc>
      </w:tr>
    </w:tbl>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2. Data Sources — What We Used and Why</w:t>
      </w:r>
    </w:p>
    <w:p>
      <w:pPr>
        <w:pStyle w:val="Heading2"/>
        <w:pBdr>
          <w:left w:val="single" w:color="B8860B" w:sz="16" w:space="8"/>
        </w:pBdr>
        <w:spacing w:before="320" w:after="140"/>
        <w:ind w:left="200"/>
      </w:pPr>
      <w:r>
        <w:rPr>
          <w:rFonts w:ascii="Arial" w:cs="Arial" w:eastAsia="Arial" w:hAnsi="Arial"/>
          <w:b/>
          <w:bCs/>
          <w:color w:val="2E4057"/>
          <w:sz w:val="28"/>
          <w:szCs w:val="28"/>
        </w:rPr>
        <w:t xml:space="preserve">2.1  The IMF COFER Problem</w:t>
      </w:r>
    </w:p>
    <w:p>
      <w:pPr>
        <w:spacing w:before="80" w:after="80"/>
      </w:pPr>
      <w:r>
        <w:rPr>
          <w:rFonts w:ascii="Arial" w:cs="Arial" w:eastAsia="Arial" w:hAnsi="Arial"/>
          <w:b w:val="false"/>
          <w:bCs w:val="false"/>
          <w:i w:val="false"/>
          <w:iCs w:val="false"/>
          <w:color w:val="1C1C1C"/>
          <w:sz w:val="22"/>
          <w:szCs w:val="22"/>
        </w:rPr>
        <w:t xml:space="preserve">The ideal source for USD dominance data is the IMF COFER dataset (Currency Composition of Official Foreign Exchange Reserves). COFER tracks exactly what percentage of the world's foreign exchange reserves are held in each currency, updated quarterly by the IMF.</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The plan was to fetch COFER data directly from the IMF's SDMX JSON API. The ingestion script was written and tested:</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 Attempted: IMF COFER direct API</w:t>
      </w:r>
    </w:p>
    <w:p>
      <w:pPr>
        <w:shd w:fill="F0EEE8" w:val="clear"/>
        <w:spacing w:before="36" w:after="36"/>
        <w:ind w:left="360" w:right="360"/>
      </w:pPr>
      <w:r>
        <w:rPr>
          <w:rFonts w:ascii="Courier New" w:cs="Courier New" w:eastAsia="Courier New" w:hAnsi="Courier New"/>
          <w:color w:val="2E4057"/>
          <w:sz w:val="18"/>
          <w:szCs w:val="18"/>
        </w:rPr>
        <w:t xml:space="preserve">url = 'https://data.imf.org/api/SDMX_JSON/data/COFER/Q.W0.RAFA_USD/all'</w:t>
      </w:r>
    </w:p>
    <w:p>
      <w:pPr>
        <w:shd w:fill="F0EEE8" w:val="clear"/>
        <w:spacing w:before="36" w:after="36"/>
        <w:ind w:left="360" w:right="360"/>
      </w:pPr>
      <w:r>
        <w:rPr>
          <w:rFonts w:ascii="Courier New" w:cs="Courier New" w:eastAsia="Courier New" w:hAnsi="Courier New"/>
          <w:color w:val="2E4057"/>
          <w:sz w:val="18"/>
          <w:szCs w:val="18"/>
        </w:rPr>
        <w:t xml:space="preserve">resp = requests.get(url, params={'format': 'sdmx_json', ...})</w:t>
      </w:r>
    </w:p>
    <w:p>
      <w:pPr>
        <w:shd w:fill="F0EEE8" w:val="clear"/>
        <w:spacing w:before="36" w:after="36"/>
        <w:ind w:left="360" w:right="360"/>
      </w:pPr>
      <w:r>
        <w:rPr>
          <w:rFonts w:ascii="Courier New" w:cs="Courier New" w:eastAsia="Courier New" w:hAnsi="Courier New"/>
          <w:color w:val="2E4057"/>
          <w:sz w:val="18"/>
          <w:szCs w:val="18"/>
        </w:rPr>
        <w:t xml:space="preserve"># Result: HTTP 403 Forbidden</w:t>
      </w:r>
    </w:p>
    <w:p>
      <w:pPr>
        <w:spacing w:before="100" w:after="0"/>
      </w:pPr>
      <w:r>
        <w:t xml:space="preserve"/>
      </w:r>
    </w:p>
    <w:p>
      <w:pPr>
        <w:spacing w:before="80" w:after="80"/>
      </w:pPr>
      <w:r>
        <w:rPr>
          <w:rFonts w:ascii="Arial" w:cs="Arial" w:eastAsia="Arial" w:hAnsi="Arial"/>
          <w:b w:val="false"/>
          <w:bCs w:val="false"/>
          <w:i w:val="false"/>
          <w:iCs w:val="false"/>
          <w:color w:val="1C1C1C"/>
          <w:sz w:val="22"/>
          <w:szCs w:val="22"/>
        </w:rPr>
        <w:t xml:space="preserve">The IMF API returned 403 errors for all COFER series. Investigation revealed that COFER data requires an active browser session — the IMF site sets authentication cookies that cannot be replicated in a headless script without scraping the login flow.</w:t>
      </w:r>
    </w:p>
    <w:p>
      <w:pPr>
        <w:spacing w:before="80" w:after="0"/>
      </w:pPr>
      <w:r>
        <w:t xml:space="preserve"/>
      </w:r>
    </w:p>
    <w:p>
      <w:pPr>
        <w:pBdr>
          <w:left w:val="single" w:color="185FA5" w:sz="20" w:space="10"/>
        </w:pBdr>
        <w:shd w:fill="F0F4FA" w:val="clear"/>
        <w:spacing w:before="140" w:after="140"/>
        <w:ind w:left="400" w:right="200"/>
      </w:pPr>
      <w:r>
        <w:rPr>
          <w:rFonts w:ascii="Arial" w:cs="Arial" w:eastAsia="Arial" w:hAnsi="Arial"/>
          <w:i/>
          <w:iCs/>
          <w:color w:val="1C1C1C"/>
          <w:sz w:val="22"/>
          <w:szCs w:val="22"/>
        </w:rPr>
        <w:t xml:space="preserve">This is a common real-world data engineering problem: the best data source is inaccessible programmatically. The professional response is to document the attempt, find an alternative, and move forward — not to abandon the metric.</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2.2  The Solution: Seeded COFER + World Bank API</w:t>
      </w:r>
    </w:p>
    <w:p>
      <w:pPr>
        <w:spacing w:before="80" w:after="80"/>
      </w:pPr>
      <w:r>
        <w:rPr>
          <w:rFonts w:ascii="Arial" w:cs="Arial" w:eastAsia="Arial" w:hAnsi="Arial"/>
          <w:b w:val="false"/>
          <w:bCs w:val="false"/>
          <w:i w:val="false"/>
          <w:iCs w:val="false"/>
          <w:color w:val="1C1C1C"/>
          <w:sz w:val="22"/>
          <w:szCs w:val="22"/>
        </w:rPr>
        <w:t xml:space="preserve">Two sources were combined to reconstruct the USD dominance picture:</w:t>
      </w:r>
    </w:p>
    <w:p>
      <w:pPr>
        <w:spacing w:before="80" w:after="0"/>
      </w:pPr>
      <w:r>
        <w:t xml:space="preserve"/>
      </w:r>
    </w:p>
    <w:p>
      <w:pPr>
        <w:pStyle w:val="Heading3"/>
        <w:spacing w:before="220" w:after="100"/>
      </w:pPr>
      <w:r>
        <w:rPr>
          <w:rFonts w:ascii="Arial" w:cs="Arial" w:eastAsia="Arial" w:hAnsi="Arial"/>
          <w:b/>
          <w:bCs/>
          <w:color w:val="2E4057"/>
          <w:sz w:val="24"/>
          <w:szCs w:val="24"/>
        </w:rPr>
        <w:t xml:space="preserve">IMF COFER Public Summary (Manually Seeded)</w:t>
      </w:r>
    </w:p>
    <w:p>
      <w:pPr>
        <w:spacing w:before="80" w:after="80"/>
      </w:pPr>
      <w:r>
        <w:rPr>
          <w:rFonts w:ascii="Arial" w:cs="Arial" w:eastAsia="Arial" w:hAnsi="Arial"/>
          <w:b w:val="false"/>
          <w:bCs w:val="false"/>
          <w:i w:val="false"/>
          <w:iCs w:val="false"/>
          <w:color w:val="1C1C1C"/>
          <w:sz w:val="22"/>
          <w:szCs w:val="22"/>
        </w:rPr>
        <w:t xml:space="preserve">The IMF publishes a public summary table of COFER Q4 values on their website annually. These figures are widely cited in academic papers and central bank publications. The Q4 value for each year from 2000 to 2024 was manually entered into the script as a Python dictionary:</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COFER_USD_SHARE = {</w:t>
      </w:r>
    </w:p>
    <w:p>
      <w:pPr>
        <w:shd w:fill="F0EEE8" w:val="clear"/>
        <w:spacing w:before="36" w:after="36"/>
        <w:ind w:left="360" w:right="360"/>
      </w:pPr>
      <w:r>
        <w:rPr>
          <w:rFonts w:ascii="Courier New" w:cs="Courier New" w:eastAsia="Courier New" w:hAnsi="Courier New"/>
          <w:color w:val="2E4057"/>
          <w:sz w:val="18"/>
          <w:szCs w:val="18"/>
        </w:rPr>
        <w:t xml:space="preserve">    2000: 71.13,  2001: 71.51,  2002: 67.11,  2003: 65.45,</w:t>
      </w:r>
    </w:p>
    <w:p>
      <w:pPr>
        <w:shd w:fill="F0EEE8" w:val="clear"/>
        <w:spacing w:before="36" w:after="36"/>
        <w:ind w:left="360" w:right="360"/>
      </w:pPr>
      <w:r>
        <w:rPr>
          <w:rFonts w:ascii="Courier New" w:cs="Courier New" w:eastAsia="Courier New" w:hAnsi="Courier New"/>
          <w:color w:val="2E4057"/>
          <w:sz w:val="18"/>
          <w:szCs w:val="18"/>
        </w:rPr>
        <w:t xml:space="preserve">    2004: 65.86,  2005: 66.51,  2006: 65.47,  2007: 63.87,</w:t>
      </w:r>
    </w:p>
    <w:p>
      <w:pPr>
        <w:shd w:fill="F0EEE8" w:val="clear"/>
        <w:spacing w:before="36" w:after="36"/>
        <w:ind w:left="360" w:right="360"/>
      </w:pPr>
      <w:r>
        <w:rPr>
          <w:rFonts w:ascii="Courier New" w:cs="Courier New" w:eastAsia="Courier New" w:hAnsi="Courier New"/>
          <w:color w:val="2E4057"/>
          <w:sz w:val="18"/>
          <w:szCs w:val="18"/>
        </w:rPr>
        <w:t xml:space="preserve">    2008: 64.15,  2009: 62.14,  2010: 61.79,  2011: 62.59,</w:t>
      </w:r>
    </w:p>
    <w:p>
      <w:pPr>
        <w:shd w:fill="F0EEE8" w:val="clear"/>
        <w:spacing w:before="36" w:after="36"/>
        <w:ind w:left="360" w:right="360"/>
      </w:pPr>
      <w:r>
        <w:rPr>
          <w:rFonts w:ascii="Courier New" w:cs="Courier New" w:eastAsia="Courier New" w:hAnsi="Courier New"/>
          <w:color w:val="2E4057"/>
          <w:sz w:val="18"/>
          <w:szCs w:val="18"/>
        </w:rPr>
        <w:t xml:space="preserve">    2012: 61.47,  2013: 61.24,  2014: 65.14,  2015: 65.74,</w:t>
      </w:r>
    </w:p>
    <w:p>
      <w:pPr>
        <w:shd w:fill="F0EEE8" w:val="clear"/>
        <w:spacing w:before="36" w:after="36"/>
        <w:ind w:left="360" w:right="360"/>
      </w:pPr>
      <w:r>
        <w:rPr>
          <w:rFonts w:ascii="Courier New" w:cs="Courier New" w:eastAsia="Courier New" w:hAnsi="Courier New"/>
          <w:color w:val="2E4057"/>
          <w:sz w:val="18"/>
          <w:szCs w:val="18"/>
        </w:rPr>
        <w:t xml:space="preserve">    2016: 65.34,  2017: 62.72,  2018: 61.69,  2019: 60.89,</w:t>
      </w:r>
    </w:p>
    <w:p>
      <w:pPr>
        <w:shd w:fill="F0EEE8" w:val="clear"/>
        <w:spacing w:before="36" w:after="36"/>
        <w:ind w:left="360" w:right="360"/>
      </w:pPr>
      <w:r>
        <w:rPr>
          <w:rFonts w:ascii="Courier New" w:cs="Courier New" w:eastAsia="Courier New" w:hAnsi="Courier New"/>
          <w:color w:val="2E4057"/>
          <w:sz w:val="18"/>
          <w:szCs w:val="18"/>
        </w:rPr>
        <w:t xml:space="preserve">    2020: 59.02,  2021: 58.81,  2022: 58.36,  2023: 57.33,</w:t>
      </w:r>
    </w:p>
    <w:p>
      <w:pPr>
        <w:shd w:fill="F0EEE8" w:val="clear"/>
        <w:spacing w:before="36" w:after="36"/>
        <w:ind w:left="360" w:right="360"/>
      </w:pPr>
      <w:r>
        <w:rPr>
          <w:rFonts w:ascii="Courier New" w:cs="Courier New" w:eastAsia="Courier New" w:hAnsi="Courier New"/>
          <w:color w:val="2E4057"/>
          <w:sz w:val="18"/>
          <w:szCs w:val="18"/>
        </w:rPr>
        <w:t xml:space="preserve">    2024: 57.08</w:t>
      </w:r>
    </w:p>
    <w:p>
      <w:pPr>
        <w:shd w:fill="F0EEE8" w:val="clear"/>
        <w:spacing w:before="36" w:after="36"/>
        <w:ind w:left="360" w:right="360"/>
      </w:pPr>
      <w:r>
        <w:rPr>
          <w:rFonts w:ascii="Courier New" w:cs="Courier New" w:eastAsia="Courier New" w:hAnsi="Courier New"/>
          <w:color w:val="2E4057"/>
          <w:sz w:val="18"/>
          <w:szCs w:val="18"/>
        </w:rPr>
        <w:t xml:space="preserve">}</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This approach is entirely legitimate and commonly used in quantitative research when API access is restricted. The data is sourced from the official IMF publication, is publicly available, and is the exact same figures that Bloomberg, central banks, and academic papers reference.</w:t>
      </w:r>
    </w:p>
    <w:p>
      <w:pPr>
        <w:spacing w:before="120" w:after="0"/>
      </w:pPr>
      <w:r>
        <w:t xml:space="preserve"/>
      </w:r>
    </w:p>
    <w:p>
      <w:pPr>
        <w:pStyle w:val="Heading3"/>
        <w:spacing w:before="220" w:after="100"/>
      </w:pPr>
      <w:r>
        <w:rPr>
          <w:rFonts w:ascii="Arial" w:cs="Arial" w:eastAsia="Arial" w:hAnsi="Arial"/>
          <w:b/>
          <w:bCs/>
          <w:color w:val="2E4057"/>
          <w:sz w:val="24"/>
          <w:szCs w:val="24"/>
        </w:rPr>
        <w:t xml:space="preserve">World Bank API — GDP and Reserve Structural Data</w:t>
      </w:r>
    </w:p>
    <w:p>
      <w:pPr>
        <w:spacing w:before="80" w:after="80"/>
      </w:pPr>
      <w:r>
        <w:rPr>
          <w:rFonts w:ascii="Arial" w:cs="Arial" w:eastAsia="Arial" w:hAnsi="Arial"/>
          <w:b w:val="false"/>
          <w:bCs w:val="false"/>
          <w:i w:val="false"/>
          <w:iCs w:val="false"/>
          <w:color w:val="1C1C1C"/>
          <w:sz w:val="22"/>
          <w:szCs w:val="22"/>
        </w:rPr>
        <w:t xml:space="preserve">Four additional indicators were pulled from the World Bank's open API to provide structural context around USD dominance: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Indicator Code</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Series Label</w:t>
            </w:r>
          </w:p>
        </w:tc>
        <w:tc>
          <w:tcPr>
            <w:tcW w:type="dxa" w:w="4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Why included</w:t>
            </w:r>
          </w:p>
        </w:tc>
      </w:tr>
      <w:tr>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NY.GDP.MKTP.CD (USA)</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us_gdp_usd</w:t>
            </w:r>
          </w:p>
        </w:tc>
        <w:tc>
          <w:tcPr>
            <w:tcW w:type="dxa" w:w="4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 economic weight — USD dominance is partly driven by US GDP share of world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NY.GDP.MKTP.CD (WLD)</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world_gdp_usd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World GDP baseline for computing US share</w:t>
            </w:r>
          </w:p>
        </w:tc>
      </w:tr>
      <w:tr>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FI.RES.TOTL.CD (USA)</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us_total_reserves_usd</w:t>
            </w:r>
          </w:p>
        </w:tc>
        <w:tc>
          <w:tcPr>
            <w:tcW w:type="dxa" w:w="4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 gold value derived from this: total minus excl-gold</w:t>
            </w:r>
          </w:p>
        </w:tc>
      </w:tr>
      <w:tr>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FI.RES.XGLD.CD (USA)</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us_reserves_excl_gold</w:t>
            </w:r>
          </w:p>
        </w:tc>
        <w:tc>
          <w:tcPr>
            <w:tcW w:type="dxa" w:w="4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Combined with above to compute US gold holdings explicitly</w:t>
            </w:r>
          </w:p>
        </w:tc>
      </w:tr>
    </w:tbl>
    <w:p>
      <w:pPr>
        <w:spacing w:before="120" w:after="0"/>
      </w:pPr>
      <w:r>
        <w:t xml:space="preserve"/>
      </w:r>
    </w:p>
    <w:p>
      <w:pPr>
        <w:pStyle w:val="Heading3"/>
        <w:spacing w:before="220" w:after="100"/>
      </w:pPr>
      <w:r>
        <w:rPr>
          <w:rFonts w:ascii="Arial" w:cs="Arial" w:eastAsia="Arial" w:hAnsi="Arial"/>
          <w:b/>
          <w:bCs/>
          <w:color w:val="2E4057"/>
          <w:sz w:val="24"/>
          <w:szCs w:val="24"/>
        </w:rPr>
        <w:t xml:space="preserve">World Gold Totals Derived from Existing Data</w:t>
      </w:r>
    </w:p>
    <w:p>
      <w:pPr>
        <w:spacing w:before="80" w:after="80"/>
      </w:pPr>
      <w:r>
        <w:rPr>
          <w:rFonts w:ascii="Arial" w:cs="Arial" w:eastAsia="Arial" w:hAnsi="Arial"/>
          <w:b w:val="false"/>
          <w:bCs w:val="false"/>
          <w:i w:val="false"/>
          <w:iCs w:val="false"/>
          <w:color w:val="1C1C1C"/>
          <w:sz w:val="22"/>
          <w:szCs w:val="22"/>
        </w:rPr>
        <w:t xml:space="preserve">A key engineering insight in v2a: rather than making an additional API call for world-aggregate gold totals (which the World Bank returns as null for reserve indicators), we computed world totals by summing across the 178 countries already in our staging data:</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 Reuse existing staging data — no extra API call needed</w:t>
      </w:r>
    </w:p>
    <w:p>
      <w:pPr>
        <w:shd w:fill="F0EEE8" w:val="clear"/>
        <w:spacing w:before="36" w:after="36"/>
        <w:ind w:left="360" w:right="360"/>
      </w:pPr>
      <w:r>
        <w:rPr>
          <w:rFonts w:ascii="Courier New" w:cs="Courier New" w:eastAsia="Courier New" w:hAnsi="Courier New"/>
          <w:color w:val="2E4057"/>
          <w:sz w:val="18"/>
          <w:szCs w:val="18"/>
        </w:rPr>
        <w:t xml:space="preserve">res = pd.read_csv(STAGING_DIR / 'reserves_clean.csv')</w:t>
      </w:r>
    </w:p>
    <w:p>
      <w:pPr>
        <w:shd w:fill="F0EEE8" w:val="clear"/>
        <w:spacing w:before="36" w:after="36"/>
        <w:ind w:left="360" w:right="360"/>
      </w:pPr>
      <w:r>
        <w:rPr>
          <w:rFonts w:ascii="Courier New" w:cs="Courier New" w:eastAsia="Courier New" w:hAnsi="Courier New"/>
          <w:color w:val="2E4057"/>
          <w:sz w:val="18"/>
          <w:szCs w:val="18"/>
        </w:rPr>
        <w:t xml:space="preserve">world_gold = (</w:t>
      </w:r>
    </w:p>
    <w:p>
      <w:pPr>
        <w:shd w:fill="F0EEE8" w:val="clear"/>
        <w:spacing w:before="36" w:after="36"/>
        <w:ind w:left="360" w:right="360"/>
      </w:pPr>
      <w:r>
        <w:rPr>
          <w:rFonts w:ascii="Courier New" w:cs="Courier New" w:eastAsia="Courier New" w:hAnsi="Courier New"/>
          <w:color w:val="2E4057"/>
          <w:sz w:val="18"/>
          <w:szCs w:val="18"/>
        </w:rPr>
        <w:t xml:space="preserve">    res.groupby('year')[['total_reserves_usd', 'gold_value_usd']]</w:t>
      </w:r>
    </w:p>
    <w:p>
      <w:pPr>
        <w:shd w:fill="F0EEE8" w:val="clear"/>
        <w:spacing w:before="36" w:after="36"/>
        <w:ind w:left="360" w:right="360"/>
      </w:pPr>
      <w:r>
        <w:rPr>
          <w:rFonts w:ascii="Courier New" w:cs="Courier New" w:eastAsia="Courier New" w:hAnsi="Courier New"/>
          <w:color w:val="2E4057"/>
          <w:sz w:val="18"/>
          <w:szCs w:val="18"/>
        </w:rPr>
        <w:t xml:space="preserve">    .sum()                    # sum across all 178 countries per year</w:t>
      </w:r>
    </w:p>
    <w:p>
      <w:pPr>
        <w:shd w:fill="F0EEE8" w:val="clear"/>
        <w:spacing w:before="36" w:after="36"/>
        <w:ind w:left="360" w:right="360"/>
      </w:pPr>
      <w:r>
        <w:rPr>
          <w:rFonts w:ascii="Courier New" w:cs="Courier New" w:eastAsia="Courier New" w:hAnsi="Courier New"/>
          <w:color w:val="2E4057"/>
          <w:sz w:val="18"/>
          <w:szCs w:val="18"/>
        </w:rPr>
        <w:t xml:space="preserve">    .reset_index()</w:t>
      </w:r>
    </w:p>
    <w:p>
      <w:pPr>
        <w:shd w:fill="F0EEE8" w:val="clear"/>
        <w:spacing w:before="36" w:after="36"/>
        <w:ind w:left="360" w:right="360"/>
      </w:pPr>
      <w:r>
        <w:rPr>
          <w:rFonts w:ascii="Courier New" w:cs="Courier New" w:eastAsia="Courier New" w:hAnsi="Courier New"/>
          <w:color w:val="2E4057"/>
          <w:sz w:val="18"/>
          <w:szCs w:val="18"/>
        </w:rPr>
        <w:t xml:space="preserve">    .rename(columns={</w:t>
      </w:r>
    </w:p>
    <w:p>
      <w:pPr>
        <w:shd w:fill="F0EEE8" w:val="clear"/>
        <w:spacing w:before="36" w:after="36"/>
        <w:ind w:left="360" w:right="360"/>
      </w:pPr>
      <w:r>
        <w:rPr>
          <w:rFonts w:ascii="Courier New" w:cs="Courier New" w:eastAsia="Courier New" w:hAnsi="Courier New"/>
          <w:color w:val="2E4057"/>
          <w:sz w:val="18"/>
          <w:szCs w:val="18"/>
        </w:rPr>
        <w:t xml:space="preserve">        'total_reserves_usd': 'world_total_reserves_usd',</w:t>
      </w:r>
    </w:p>
    <w:p>
      <w:pPr>
        <w:shd w:fill="F0EEE8" w:val="clear"/>
        <w:spacing w:before="36" w:after="36"/>
        <w:ind w:left="360" w:right="360"/>
      </w:pPr>
      <w:r>
        <w:rPr>
          <w:rFonts w:ascii="Courier New" w:cs="Courier New" w:eastAsia="Courier New" w:hAnsi="Courier New"/>
          <w:color w:val="2E4057"/>
          <w:sz w:val="18"/>
          <w:szCs w:val="18"/>
        </w:rPr>
        <w:t xml:space="preserve">        'gold_value_usd':     'world_gold_value_usd',</w:t>
      </w:r>
    </w:p>
    <w:p>
      <w:pPr>
        <w:shd w:fill="F0EEE8" w:val="clear"/>
        <w:spacing w:before="36" w:after="36"/>
        <w:ind w:left="360" w:right="360"/>
      </w:pPr>
      <w:r>
        <w:rPr>
          <w:rFonts w:ascii="Courier New" w:cs="Courier New" w:eastAsia="Courier New" w:hAnsi="Courier New"/>
          <w:color w:val="2E4057"/>
          <w:sz w:val="18"/>
          <w:szCs w:val="18"/>
        </w:rPr>
        <w:t xml:space="preserve">    })</w:t>
      </w:r>
    </w:p>
    <w:p>
      <w:pPr>
        <w:shd w:fill="F0EEE8" w:val="clear"/>
        <w:spacing w:before="36" w:after="36"/>
        <w:ind w:left="360" w:right="360"/>
      </w:pPr>
      <w:r>
        <w:rPr>
          <w:rFonts w:ascii="Courier New" w:cs="Courier New" w:eastAsia="Courier New" w:hAnsi="Courier New"/>
          <w:color w:val="2E4057"/>
          <w:sz w:val="18"/>
          <w:szCs w:val="18"/>
        </w:rPr>
        <w:t xml:space="preserve">)</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This is better than a World Bank aggregate call because: (1) no additional API dependency, (2) the world total is consistent with exactly the 178 countries in our analysis, (3) it runs instantly from local data.</w:t>
      </w:r>
    </w:p>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3. Ingestion Script — How It Works</w:t>
      </w:r>
    </w:p>
    <w:p>
      <w:pPr>
        <w:spacing w:before="80" w:after="80"/>
      </w:pPr>
      <w:r>
        <w:rPr>
          <w:rFonts w:ascii="Arial" w:cs="Arial" w:eastAsia="Arial" w:hAnsi="Arial"/>
          <w:b w:val="false"/>
          <w:bCs w:val="false"/>
          <w:i w:val="false"/>
          <w:iCs w:val="false"/>
          <w:color w:val="1C1C1C"/>
          <w:sz w:val="22"/>
          <w:szCs w:val="22"/>
        </w:rPr>
        <w:t xml:space="preserve">The ingestion script (src/ingestion/imf_cofer.py — renamed from its original IMF-focused intent) handles three things: fetching World Bank series, merging in the COFER USD share data, and deriving the world gold totals from our existing staging data.</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3.1  Fetching World Bank Series</w:t>
      </w:r>
    </w:p>
    <w:p>
      <w:pPr>
        <w:spacing w:before="80" w:after="80"/>
      </w:pPr>
      <w:r>
        <w:rPr>
          <w:rFonts w:ascii="Arial" w:cs="Arial" w:eastAsia="Arial" w:hAnsi="Arial"/>
          <w:b w:val="false"/>
          <w:bCs w:val="false"/>
          <w:i w:val="false"/>
          <w:iCs w:val="false"/>
          <w:color w:val="1C1C1C"/>
          <w:sz w:val="22"/>
          <w:szCs w:val="22"/>
        </w:rPr>
        <w:t xml:space="preserve">The World Bank fetch function is similar to the one in v1 but simplified — we only need country-level data for the US and the World aggregate, so no pagination is needed (25 years easily fits in one page):</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def fetch_wb_series(country, indicator, label):</w:t>
      </w:r>
    </w:p>
    <w:p>
      <w:pPr>
        <w:shd w:fill="F0EEE8" w:val="clear"/>
        <w:spacing w:before="36" w:after="36"/>
        <w:ind w:left="360" w:right="360"/>
      </w:pPr>
      <w:r>
        <w:rPr>
          <w:rFonts w:ascii="Courier New" w:cs="Courier New" w:eastAsia="Courier New" w:hAnsi="Courier New"/>
          <w:color w:val="2E4057"/>
          <w:sz w:val="18"/>
          <w:szCs w:val="18"/>
        </w:rPr>
        <w:t xml:space="preserve">    params = {</w:t>
      </w:r>
    </w:p>
    <w:p>
      <w:pPr>
        <w:shd w:fill="F0EEE8" w:val="clear"/>
        <w:spacing w:before="36" w:after="36"/>
        <w:ind w:left="360" w:right="360"/>
      </w:pPr>
      <w:r>
        <w:rPr>
          <w:rFonts w:ascii="Courier New" w:cs="Courier New" w:eastAsia="Courier New" w:hAnsi="Courier New"/>
          <w:color w:val="2E4057"/>
          <w:sz w:val="18"/>
          <w:szCs w:val="18"/>
        </w:rPr>
        <w:t xml:space="preserve">        'format': 'json',</w:t>
      </w:r>
    </w:p>
    <w:p>
      <w:pPr>
        <w:shd w:fill="F0EEE8" w:val="clear"/>
        <w:spacing w:before="36" w:after="36"/>
        <w:ind w:left="360" w:right="360"/>
      </w:pPr>
      <w:r>
        <w:rPr>
          <w:rFonts w:ascii="Courier New" w:cs="Courier New" w:eastAsia="Courier New" w:hAnsi="Courier New"/>
          <w:color w:val="2E4057"/>
          <w:sz w:val="18"/>
          <w:szCs w:val="18"/>
        </w:rPr>
        <w:t xml:space="preserve">        'date': '2000:2024',   # annual data, 25 years</w:t>
      </w:r>
    </w:p>
    <w:p>
      <w:pPr>
        <w:shd w:fill="F0EEE8" w:val="clear"/>
        <w:spacing w:before="36" w:after="36"/>
        <w:ind w:left="360" w:right="360"/>
      </w:pPr>
      <w:r>
        <w:rPr>
          <w:rFonts w:ascii="Courier New" w:cs="Courier New" w:eastAsia="Courier New" w:hAnsi="Courier New"/>
          <w:color w:val="2E4057"/>
          <w:sz w:val="18"/>
          <w:szCs w:val="18"/>
        </w:rPr>
        <w:t xml:space="preserve">        'per_page': 500,       # more than enough for 25 rows</w:t>
      </w:r>
    </w:p>
    <w:p>
      <w:pPr>
        <w:shd w:fill="F0EEE8" w:val="clear"/>
        <w:spacing w:before="36" w:after="36"/>
        <w:ind w:left="360" w:right="360"/>
      </w:pPr>
      <w:r>
        <w:rPr>
          <w:rFonts w:ascii="Courier New" w:cs="Courier New" w:eastAsia="Courier New" w:hAnsi="Courier New"/>
          <w:color w:val="2E4057"/>
          <w:sz w:val="18"/>
          <w:szCs w:val="18"/>
        </w:rPr>
        <w:t xml:space="preserve">    }</w:t>
      </w:r>
    </w:p>
    <w:p>
      <w:pPr>
        <w:shd w:fill="F0EEE8" w:val="clear"/>
        <w:spacing w:before="36" w:after="36"/>
        <w:ind w:left="360" w:right="360"/>
      </w:pPr>
      <w:r>
        <w:rPr>
          <w:rFonts w:ascii="Courier New" w:cs="Courier New" w:eastAsia="Courier New" w:hAnsi="Courier New"/>
          <w:color w:val="2E4057"/>
          <w:sz w:val="18"/>
          <w:szCs w:val="18"/>
        </w:rPr>
        <w:t xml:space="preserve">    resp = requests.get(</w:t>
      </w:r>
    </w:p>
    <w:p>
      <w:pPr>
        <w:shd w:fill="F0EEE8" w:val="clear"/>
        <w:spacing w:before="36" w:after="36"/>
        <w:ind w:left="360" w:right="360"/>
      </w:pPr>
      <w:r>
        <w:rPr>
          <w:rFonts w:ascii="Courier New" w:cs="Courier New" w:eastAsia="Courier New" w:hAnsi="Courier New"/>
          <w:color w:val="2E4057"/>
          <w:sz w:val="18"/>
          <w:szCs w:val="18"/>
        </w:rPr>
        <w:t xml:space="preserve">        f'{BASE_URL}/{country}/indicator/{indicator}',</w:t>
      </w:r>
    </w:p>
    <w:p>
      <w:pPr>
        <w:shd w:fill="F0EEE8" w:val="clear"/>
        <w:spacing w:before="36" w:after="36"/>
        <w:ind w:left="360" w:right="360"/>
      </w:pPr>
      <w:r>
        <w:rPr>
          <w:rFonts w:ascii="Courier New" w:cs="Courier New" w:eastAsia="Courier New" w:hAnsi="Courier New"/>
          <w:color w:val="2E4057"/>
          <w:sz w:val="18"/>
          <w:szCs w:val="18"/>
        </w:rPr>
        <w:t xml:space="preserve">        params=params, timeout=30</w:t>
      </w:r>
    </w:p>
    <w:p>
      <w:pPr>
        <w:shd w:fill="F0EEE8" w:val="clear"/>
        <w:spacing w:before="36" w:after="36"/>
        <w:ind w:left="360" w:right="360"/>
      </w:pPr>
      <w:r>
        <w:rPr>
          <w:rFonts w:ascii="Courier New" w:cs="Courier New" w:eastAsia="Courier New" w:hAnsi="Courier New"/>
          <w:color w:val="2E4057"/>
          <w:sz w:val="18"/>
          <w:szCs w:val="18"/>
        </w:rPr>
        <w:t xml:space="preserve">    )</w:t>
      </w:r>
    </w:p>
    <w:p>
      <w:pPr>
        <w:shd w:fill="F0EEE8" w:val="clear"/>
        <w:spacing w:before="36" w:after="36"/>
        <w:ind w:left="360" w:right="360"/>
      </w:pPr>
      <w:r>
        <w:rPr>
          <w:rFonts w:ascii="Courier New" w:cs="Courier New" w:eastAsia="Courier New" w:hAnsi="Courier New"/>
          <w:color w:val="2E4057"/>
          <w:sz w:val="18"/>
          <w:szCs w:val="18"/>
        </w:rPr>
        <w:t xml:space="preserve">    # filter out null values — World Bank sometimes returns None for recent years</w:t>
      </w:r>
    </w:p>
    <w:p>
      <w:pPr>
        <w:shd w:fill="F0EEE8" w:val="clear"/>
        <w:spacing w:before="36" w:after="36"/>
        <w:ind w:left="360" w:right="360"/>
      </w:pPr>
      <w:r>
        <w:rPr>
          <w:rFonts w:ascii="Courier New" w:cs="Courier New" w:eastAsia="Courier New" w:hAnsi="Courier New"/>
          <w:color w:val="2E4057"/>
          <w:sz w:val="18"/>
          <w:szCs w:val="18"/>
        </w:rPr>
        <w:t xml:space="preserve">    df = pd.DataFrame([{</w:t>
      </w:r>
    </w:p>
    <w:p>
      <w:pPr>
        <w:shd w:fill="F0EEE8" w:val="clear"/>
        <w:spacing w:before="36" w:after="36"/>
        <w:ind w:left="360" w:right="360"/>
      </w:pPr>
      <w:r>
        <w:rPr>
          <w:rFonts w:ascii="Courier New" w:cs="Courier New" w:eastAsia="Courier New" w:hAnsi="Courier New"/>
          <w:color w:val="2E4057"/>
          <w:sz w:val="18"/>
          <w:szCs w:val="18"/>
        </w:rPr>
        <w:t xml:space="preserve">        'year': int(r['date']),</w:t>
      </w:r>
    </w:p>
    <w:p>
      <w:pPr>
        <w:shd w:fill="F0EEE8" w:val="clear"/>
        <w:spacing w:before="36" w:after="36"/>
        <w:ind w:left="360" w:right="360"/>
      </w:pPr>
      <w:r>
        <w:rPr>
          <w:rFonts w:ascii="Courier New" w:cs="Courier New" w:eastAsia="Courier New" w:hAnsi="Courier New"/>
          <w:color w:val="2E4057"/>
          <w:sz w:val="18"/>
          <w:szCs w:val="18"/>
        </w:rPr>
        <w:t xml:space="preserve">        'value': r['value'],</w:t>
      </w:r>
    </w:p>
    <w:p>
      <w:pPr>
        <w:shd w:fill="F0EEE8" w:val="clear"/>
        <w:spacing w:before="36" w:after="36"/>
        <w:ind w:left="360" w:right="360"/>
      </w:pPr>
      <w:r>
        <w:rPr>
          <w:rFonts w:ascii="Courier New" w:cs="Courier New" w:eastAsia="Courier New" w:hAnsi="Courier New"/>
          <w:color w:val="2E4057"/>
          <w:sz w:val="18"/>
          <w:szCs w:val="18"/>
        </w:rPr>
        <w:t xml:space="preserve">        'series': label,</w:t>
      </w:r>
    </w:p>
    <w:p>
      <w:pPr>
        <w:shd w:fill="F0EEE8" w:val="clear"/>
        <w:spacing w:before="36" w:after="36"/>
        <w:ind w:left="360" w:right="360"/>
      </w:pPr>
      <w:r>
        <w:rPr>
          <w:rFonts w:ascii="Courier New" w:cs="Courier New" w:eastAsia="Courier New" w:hAnsi="Courier New"/>
          <w:color w:val="2E4057"/>
          <w:sz w:val="18"/>
          <w:szCs w:val="18"/>
        </w:rPr>
        <w:t xml:space="preserve">    } for r in records if r['value'] is not None])</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The if r['value'] is not None filter is important — the World Bank often has a 1-2 year lag on some indicators, so the most recent years may have null values. Filtering these prevents NaN rows from breaking the pivot operation downstream.</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3.2  Why the Pivot Needed Careful Handling</w:t>
      </w:r>
    </w:p>
    <w:p>
      <w:pPr>
        <w:spacing w:before="80" w:after="80"/>
      </w:pPr>
      <w:r>
        <w:rPr>
          <w:rFonts w:ascii="Arial" w:cs="Arial" w:eastAsia="Arial" w:hAnsi="Arial"/>
          <w:b w:val="false"/>
          <w:bCs w:val="false"/>
          <w:i w:val="false"/>
          <w:iCs w:val="false"/>
          <w:color w:val="1C1C1C"/>
          <w:sz w:val="22"/>
          <w:szCs w:val="22"/>
        </w:rPr>
        <w:t xml:space="preserve">A subtle bug appeared during development: when all rows for a series contain null values, pandas pivot_table silently drops that column from the result. This caused a KeyError on world_total_reserves_usd because the World Bank WLD aggregate returns null for reserve indicators.</w:t>
      </w:r>
    </w:p>
    <w:p>
      <w:pPr>
        <w:spacing w:before="60" w:after="0"/>
      </w:pPr>
      <w:r>
        <w:t xml:space="preserve"/>
      </w:r>
    </w:p>
    <w:p>
      <w:pPr>
        <w:spacing w:before="80" w:after="80"/>
      </w:pPr>
      <w:r>
        <w:rPr>
          <w:rFonts w:ascii="Arial" w:cs="Arial" w:eastAsia="Arial" w:hAnsi="Arial"/>
          <w:b w:val="false"/>
          <w:bCs w:val="false"/>
          <w:i w:val="false"/>
          <w:iCs w:val="false"/>
          <w:color w:val="1C1C1C"/>
          <w:sz w:val="22"/>
          <w:szCs w:val="22"/>
        </w:rPr>
        <w:t xml:space="preserve">The fix was to not fetch world reserves from the API at all — instead derive them from our own staging data (as described above). The debug output that identified the bug:</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 Debug print added to diagnose the issue:</w:t>
      </w:r>
    </w:p>
    <w:p>
      <w:pPr>
        <w:shd w:fill="F0EEE8" w:val="clear"/>
        <w:spacing w:before="36" w:after="36"/>
        <w:ind w:left="360" w:right="360"/>
      </w:pPr>
      <w:r>
        <w:rPr>
          <w:rFonts w:ascii="Courier New" w:cs="Courier New" w:eastAsia="Courier New" w:hAnsi="Courier New"/>
          <w:color w:val="2E4057"/>
          <w:sz w:val="18"/>
          <w:szCs w:val="18"/>
        </w:rPr>
        <w:t xml:space="preserve">print(f'Series in raw data: {raw["series"].unique().tolist()}')</w:t>
      </w:r>
    </w:p>
    <w:p>
      <w:pPr>
        <w:shd w:fill="F0EEE8" w:val="clear"/>
        <w:spacing w:before="36" w:after="36"/>
        <w:ind w:left="360" w:right="360"/>
      </w:pPr>
      <w:r>
        <w:rPr>
          <w:rFonts w:ascii="Courier New" w:cs="Courier New" w:eastAsia="Courier New" w:hAnsi="Courier New"/>
          <w:color w:val="2E4057"/>
          <w:sz w:val="18"/>
          <w:szCs w:val="18"/>
        </w:rPr>
        <w:t xml:space="preserve">print(f'Columns after pivot: {df_wide.columns.tolist()}')</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Output revealed:</w:t>
      </w:r>
    </w:p>
    <w:p>
      <w:pPr>
        <w:shd w:fill="F0EEE8" w:val="clear"/>
        <w:spacing w:before="36" w:after="36"/>
        <w:ind w:left="360" w:right="360"/>
      </w:pPr>
      <w:r>
        <w:rPr>
          <w:rFonts w:ascii="Courier New" w:cs="Courier New" w:eastAsia="Courier New" w:hAnsi="Courier New"/>
          <w:color w:val="2E4057"/>
          <w:sz w:val="18"/>
          <w:szCs w:val="18"/>
        </w:rPr>
        <w:t xml:space="preserve"># Series in raw: ['world_total_reserves_usd', 'world_reserves_excl_gold_usd', ...]</w:t>
      </w:r>
    </w:p>
    <w:p>
      <w:pPr>
        <w:shd w:fill="F0EEE8" w:val="clear"/>
        <w:spacing w:before="36" w:after="36"/>
        <w:ind w:left="360" w:right="360"/>
      </w:pPr>
      <w:r>
        <w:rPr>
          <w:rFonts w:ascii="Courier New" w:cs="Courier New" w:eastAsia="Courier New" w:hAnsi="Courier New"/>
          <w:color w:val="2E4057"/>
          <w:sz w:val="18"/>
          <w:szCs w:val="18"/>
        </w:rPr>
        <w:t xml:space="preserve"># Columns after pivot: ['year', 'us_gdp_usd', 'us_reserves_excl_gold', ...]</w:t>
      </w:r>
    </w:p>
    <w:p>
      <w:pPr>
        <w:shd w:fill="F0EEE8" w:val="clear"/>
        <w:spacing w:before="36" w:after="36"/>
        <w:ind w:left="360" w:right="360"/>
      </w:pPr>
      <w:r>
        <w:rPr>
          <w:rFonts w:ascii="Courier New" w:cs="Courier New" w:eastAsia="Courier New" w:hAnsi="Courier New"/>
          <w:color w:val="2E4057"/>
          <w:sz w:val="18"/>
          <w:szCs w:val="18"/>
        </w:rPr>
        <w:t xml:space="preserve"># world_total_reserves_usd was silently dropped — all-null series</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This kind of silent data loss is a common pitfall with pivot_table. The professional fix is to either pre-check for all-null series before pivoting, or to avoid relying on the pivot to carry all series and instead merge them individually. In this case, removing the problematic series from the API call and computing it locally was cleaner.</w:t>
      </w:r>
    </w:p>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4. Cleaning Script — Silver Layer</w:t>
      </w:r>
    </w:p>
    <w:p>
      <w:pPr>
        <w:spacing w:before="80" w:after="80"/>
      </w:pPr>
      <w:r>
        <w:rPr>
          <w:rFonts w:ascii="Arial" w:cs="Arial" w:eastAsia="Arial" w:hAnsi="Arial"/>
          <w:b w:val="false"/>
          <w:bCs w:val="false"/>
          <w:i w:val="false"/>
          <w:iCs w:val="false"/>
          <w:color w:val="1C1C1C"/>
          <w:sz w:val="22"/>
          <w:szCs w:val="22"/>
        </w:rPr>
        <w:t xml:space="preserve">The cleaning script (src/cleaning/clean_usd_dominance.py) takes the raw usd_dominance CSV and produces a clean, analysis-ready table with consistent column ordering, scaled units, and two new derived metrics.</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4.1  Unit Scaling</w:t>
      </w:r>
    </w:p>
    <w:p>
      <w:pPr>
        <w:spacing w:before="80" w:after="80"/>
      </w:pPr>
      <w:r>
        <w:rPr>
          <w:rFonts w:ascii="Arial" w:cs="Arial" w:eastAsia="Arial" w:hAnsi="Arial"/>
          <w:b w:val="false"/>
          <w:bCs w:val="false"/>
          <w:i w:val="false"/>
          <w:iCs w:val="false"/>
          <w:color w:val="1C1C1C"/>
          <w:sz w:val="22"/>
          <w:szCs w:val="22"/>
        </w:rPr>
        <w:t xml:space="preserve">Raw financial values in the World Bank data are in absolute USD (e.g., US GDP = $27,360,000,000,000). Working with numbers this large in analysis tools creates formatting problems and makes outputs hard to read. All monetary columns are scaled to USD billions:</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for col in ['world_total_reserves_usd', 'world_gold_value_usd',</w:t>
      </w:r>
    </w:p>
    <w:p>
      <w:pPr>
        <w:shd w:fill="F0EEE8" w:val="clear"/>
        <w:spacing w:before="36" w:after="36"/>
        <w:ind w:left="360" w:right="360"/>
      </w:pPr>
      <w:r>
        <w:rPr>
          <w:rFonts w:ascii="Courier New" w:cs="Courier New" w:eastAsia="Courier New" w:hAnsi="Courier New"/>
          <w:color w:val="2E4057"/>
          <w:sz w:val="18"/>
          <w:szCs w:val="18"/>
        </w:rPr>
        <w:t xml:space="preserve">            'us_gdp_usd', 'world_gdp_usd', ...]:</w:t>
      </w:r>
    </w:p>
    <w:p>
      <w:pPr>
        <w:shd w:fill="F0EEE8" w:val="clear"/>
        <w:spacing w:before="36" w:after="36"/>
        <w:ind w:left="360" w:right="360"/>
      </w:pPr>
      <w:r>
        <w:rPr>
          <w:rFonts w:ascii="Courier New" w:cs="Courier New" w:eastAsia="Courier New" w:hAnsi="Courier New"/>
          <w:color w:val="2E4057"/>
          <w:sz w:val="18"/>
          <w:szCs w:val="18"/>
        </w:rPr>
        <w:t xml:space="preserve">    df[col] = (df[col] / 1e9).round(2)</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Columns renamed to reflect unit:</w:t>
      </w:r>
    </w:p>
    <w:p>
      <w:pPr>
        <w:shd w:fill="F0EEE8" w:val="clear"/>
        <w:spacing w:before="36" w:after="36"/>
        <w:ind w:left="360" w:right="360"/>
      </w:pPr>
      <w:r>
        <w:rPr>
          <w:rFonts w:ascii="Courier New" w:cs="Courier New" w:eastAsia="Courier New" w:hAnsi="Courier New"/>
          <w:color w:val="2E4057"/>
          <w:sz w:val="18"/>
          <w:szCs w:val="18"/>
        </w:rPr>
        <w:t xml:space="preserve"># world_gold_value_usd  →  world_gold_value_bn</w:t>
      </w:r>
    </w:p>
    <w:p>
      <w:pPr>
        <w:shd w:fill="F0EEE8" w:val="clear"/>
        <w:spacing w:before="36" w:after="36"/>
        <w:ind w:left="360" w:right="360"/>
      </w:pPr>
      <w:r>
        <w:rPr>
          <w:rFonts w:ascii="Courier New" w:cs="Courier New" w:eastAsia="Courier New" w:hAnsi="Courier New"/>
          <w:color w:val="2E4057"/>
          <w:sz w:val="18"/>
          <w:szCs w:val="18"/>
        </w:rPr>
        <w:t xml:space="preserve"># us_gdp_usd            →  us_gdp_bn</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4.2  USD Share Drawdown</w:t>
      </w:r>
    </w:p>
    <w:p>
      <w:pPr>
        <w:spacing w:before="80" w:after="80"/>
      </w:pPr>
      <w:r>
        <w:rPr>
          <w:rFonts w:ascii="Arial" w:cs="Arial" w:eastAsia="Arial" w:hAnsi="Arial"/>
          <w:b w:val="false"/>
          <w:bCs w:val="false"/>
          <w:i w:val="false"/>
          <w:iCs w:val="false"/>
          <w:color w:val="1C1C1C"/>
          <w:sz w:val="22"/>
          <w:szCs w:val="22"/>
        </w:rPr>
        <w:t xml:space="preserve">A new column usd_share_drawdown_pct measures how far the USD share has fallen from its 2000 baseline. This is more informative than the raw share for trend analysis because it anchors the decline to a common starting point:</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peak = df.loc[df['year'] == 2000, 'usd_share_of_reserves_pct'].values[0]</w:t>
      </w:r>
    </w:p>
    <w:p>
      <w:pPr>
        <w:shd w:fill="F0EEE8" w:val="clear"/>
        <w:spacing w:before="36" w:after="36"/>
        <w:ind w:left="360" w:right="360"/>
      </w:pPr>
      <w:r>
        <w:rPr>
          <w:rFonts w:ascii="Courier New" w:cs="Courier New" w:eastAsia="Courier New" w:hAnsi="Courier New"/>
          <w:color w:val="2E4057"/>
          <w:sz w:val="18"/>
          <w:szCs w:val="18"/>
        </w:rPr>
        <w:t xml:space="preserve"># peak = 71.13%</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df['usd_share_drawdown_pct'] = (df['usd_share_of_reserves_pct'] - peak).round(2)</w:t>
      </w:r>
    </w:p>
    <w:p>
      <w:pPr>
        <w:shd w:fill="F0EEE8" w:val="clear"/>
        <w:spacing w:before="36" w:after="36"/>
        <w:ind w:left="360" w:right="360"/>
      </w:pPr>
      <w:r>
        <w:rPr>
          <w:rFonts w:ascii="Courier New" w:cs="Courier New" w:eastAsia="Courier New" w:hAnsi="Courier New"/>
          <w:color w:val="2E4057"/>
          <w:sz w:val="18"/>
          <w:szCs w:val="18"/>
        </w:rPr>
        <w:t xml:space="preserve"># 2024: 57.08 - 71.13 = -14.05 pp</w:t>
      </w:r>
    </w:p>
    <w:p>
      <w:pPr>
        <w:shd w:fill="F0EEE8" w:val="clear"/>
        <w:spacing w:before="36" w:after="36"/>
        <w:ind w:left="360" w:right="360"/>
      </w:pPr>
      <w:r>
        <w:rPr>
          <w:rFonts w:ascii="Courier New" w:cs="Courier New" w:eastAsia="Courier New" w:hAnsi="Courier New"/>
          <w:color w:val="2E4057"/>
          <w:sz w:val="18"/>
          <w:szCs w:val="18"/>
        </w:rPr>
        <w:t xml:space="preserve"># Negative means USD share is lower than 2000 baseline</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By 2024, the drawdown reached -14.05 percentage points — meaning the USD's share of global reserves has fallen by nearly 14 points from its 2000 peak. This is a structural shift, not a temporary fluctuation.</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4.3  World Gold Share of Reserves</w:t>
      </w:r>
    </w:p>
    <w:p>
      <w:pPr>
        <w:spacing w:before="80" w:after="80"/>
      </w:pPr>
      <w:r>
        <w:rPr>
          <w:rFonts w:ascii="Arial" w:cs="Arial" w:eastAsia="Arial" w:hAnsi="Arial"/>
          <w:b w:val="false"/>
          <w:bCs w:val="false"/>
          <w:i w:val="false"/>
          <w:iCs w:val="false"/>
          <w:color w:val="1C1C1C"/>
          <w:sz w:val="22"/>
          <w:szCs w:val="22"/>
        </w:rPr>
        <w:t xml:space="preserve">A second derived metric: world_gold_share_pct computes gold's share of total world reserves. This is the world-level equivalent of the country-level gold_share_pct calculated in v1:</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df['world_gold_share_pct'] = (</w:t>
      </w:r>
    </w:p>
    <w:p>
      <w:pPr>
        <w:shd w:fill="F0EEE8" w:val="clear"/>
        <w:spacing w:before="36" w:after="36"/>
        <w:ind w:left="360" w:right="360"/>
      </w:pPr>
      <w:r>
        <w:rPr>
          <w:rFonts w:ascii="Courier New" w:cs="Courier New" w:eastAsia="Courier New" w:hAnsi="Courier New"/>
          <w:color w:val="2E4057"/>
          <w:sz w:val="18"/>
          <w:szCs w:val="18"/>
        </w:rPr>
        <w:t xml:space="preserve">    df['world_gold_value_bn'] / df['world_total_reserves_bn'] * 100</w:t>
      </w:r>
    </w:p>
    <w:p>
      <w:pPr>
        <w:shd w:fill="F0EEE8" w:val="clear"/>
        <w:spacing w:before="36" w:after="36"/>
        <w:ind w:left="360" w:right="360"/>
      </w:pPr>
      <w:r>
        <w:rPr>
          <w:rFonts w:ascii="Courier New" w:cs="Courier New" w:eastAsia="Courier New" w:hAnsi="Courier New"/>
          <w:color w:val="2E4057"/>
          <w:sz w:val="18"/>
          <w:szCs w:val="18"/>
        </w:rPr>
        <w:t xml:space="preserve">).round(2)</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This metric rose from 11.71% in 2000 to 17.44% in 2024 — a 5.73 percentage point increase, representing the largest shift in the composition of global reserves since the collapse of the Bretton Woods gold standard in 1971.</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4.4  Full Silver Layer Output</w:t>
      </w:r>
    </w:p>
    <w:p>
      <w:pPr>
        <w:spacing w:before="80" w:after="80"/>
      </w:pPr>
      <w:r>
        <w:rPr>
          <w:rFonts w:ascii="Arial" w:cs="Arial" w:eastAsia="Arial" w:hAnsi="Arial"/>
          <w:b w:val="false"/>
          <w:bCs w:val="false"/>
          <w:i w:val="false"/>
          <w:iCs w:val="false"/>
          <w:color w:val="1C1C1C"/>
          <w:sz w:val="22"/>
          <w:szCs w:val="22"/>
        </w:rPr>
        <w:t xml:space="preserve">The cleaned table saved to data/staging/usd_dominance_clean.csv:</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2160"/>
        <w:gridCol w:w="2000"/>
      </w:tblGrid>
      <w:tr>
        <w:tc>
          <w:tcPr>
            <w:tcW w:type="dxa" w:w="1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Year</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USD Share %</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Drawdown (pp)</w:t>
            </w:r>
          </w:p>
        </w:tc>
        <w:tc>
          <w:tcPr>
            <w:tcW w:type="dxa" w:w="21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World Gold $bn</w:t>
            </w:r>
          </w:p>
        </w:tc>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Gold Share %</w:t>
            </w:r>
          </w:p>
        </w:tc>
      </w:tr>
      <w:tr>
        <w:tc>
          <w:tcPr>
            <w:tcW w:type="dxa" w:w="1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2000</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71.13%</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0.00</w:t>
            </w:r>
          </w:p>
        </w:tc>
        <w:tc>
          <w:tcPr>
            <w:tcW w:type="dxa" w:w="2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$248.7B</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11.71%</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2005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66.51%</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-4.62</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$429.3B</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9.49%</w:t>
            </w:r>
          </w:p>
        </w:tc>
      </w:tr>
      <w:tr>
        <w:tc>
          <w:tcPr>
            <w:tcW w:type="dxa" w:w="1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2010</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61.79%</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993C1D"/>
                <w:sz w:val="20"/>
                <w:szCs w:val="20"/>
              </w:rPr>
              <w:t xml:space="preserve">-9.34</w:t>
            </w:r>
          </w:p>
        </w:tc>
        <w:tc>
          <w:tcPr>
            <w:tcW w:type="dxa" w:w="2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$1,190.2B</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11.75%</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2015</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65.74%</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-5.39</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$985.6B</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8.38%</w:t>
            </w:r>
          </w:p>
        </w:tc>
      </w:tr>
      <w:tr>
        <w:tc>
          <w:tcPr>
            <w:tcW w:type="dxa" w:w="1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2019</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60.89%</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993C1D"/>
                <w:sz w:val="20"/>
                <w:szCs w:val="20"/>
              </w:rPr>
              <w:t xml:space="preserve">-10.24</w:t>
            </w:r>
          </w:p>
        </w:tc>
        <w:tc>
          <w:tcPr>
            <w:tcW w:type="dxa" w:w="21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$1,478.4B</w:t>
            </w:r>
          </w:p>
        </w:tc>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11.29%</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2022</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58.36%</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bCs/>
                <w:color w:val="993C1D"/>
                <w:sz w:val="20"/>
                <w:szCs w:val="20"/>
              </w:rPr>
              <w:t xml:space="preserve">-12.77</w:t>
            </w:r>
          </w:p>
        </w:tc>
        <w:tc>
          <w:tcPr>
            <w:tcW w:type="dxa" w:w="2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$1,818.3B</w:t>
            </w:r>
          </w:p>
        </w:tc>
        <w:tc>
          <w:tcPr>
            <w:tcW w:type="dxa" w:w="20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C1C1C"/>
                <w:sz w:val="20"/>
                <w:szCs w:val="20"/>
              </w:rPr>
              <w:t xml:space="preserve">12.93%</w:t>
            </w:r>
          </w:p>
        </w:tc>
      </w:tr>
      <w:tr>
        <w:tc>
          <w:tcPr>
            <w:tcW w:type="dxa" w:w="120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2024</w:t>
            </w:r>
          </w:p>
        </w:tc>
        <w:tc>
          <w:tcPr>
            <w:tcW w:type="dxa" w:w="200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center"/>
            </w:pPr>
            <w:r>
              <w:rPr>
                <w:rFonts w:ascii="Arial" w:cs="Arial" w:eastAsia="Arial" w:hAnsi="Arial"/>
                <w:b/>
                <w:bCs/>
                <w:color w:val="993C1D"/>
                <w:sz w:val="20"/>
                <w:szCs w:val="20"/>
              </w:rPr>
              <w:t xml:space="preserve">57.08%</w:t>
            </w:r>
          </w:p>
        </w:tc>
        <w:tc>
          <w:tcPr>
            <w:tcW w:type="dxa" w:w="200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center"/>
            </w:pPr>
            <w:r>
              <w:rPr>
                <w:rFonts w:ascii="Arial" w:cs="Arial" w:eastAsia="Arial" w:hAnsi="Arial"/>
                <w:b/>
                <w:bCs/>
                <w:color w:val="993C1D"/>
                <w:sz w:val="20"/>
                <w:szCs w:val="20"/>
              </w:rPr>
              <w:t xml:space="preserve">-14.05</w:t>
            </w:r>
          </w:p>
        </w:tc>
        <w:tc>
          <w:tcPr>
            <w:tcW w:type="dxa" w:w="216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center"/>
            </w:pPr>
            <w:r>
              <w:rPr>
                <w:rFonts w:ascii="Arial" w:cs="Arial" w:eastAsia="Arial" w:hAnsi="Arial"/>
                <w:b/>
                <w:bCs/>
                <w:color w:val="1A6B3C"/>
                <w:sz w:val="20"/>
                <w:szCs w:val="20"/>
              </w:rPr>
              <w:t xml:space="preserve">$2,472.9B</w:t>
            </w:r>
          </w:p>
        </w:tc>
        <w:tc>
          <w:tcPr>
            <w:tcW w:type="dxa" w:w="200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center"/>
            </w:pPr>
            <w:r>
              <w:rPr>
                <w:rFonts w:ascii="Arial" w:cs="Arial" w:eastAsia="Arial" w:hAnsi="Arial"/>
                <w:b/>
                <w:bCs/>
                <w:color w:val="1A6B3C"/>
                <w:sz w:val="20"/>
                <w:szCs w:val="20"/>
              </w:rPr>
              <w:t xml:space="preserve">17.44%</w:t>
            </w:r>
          </w:p>
        </w:tc>
      </w:tr>
    </w:tbl>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5. Master Panel — Merging Everything Together</w:t>
      </w:r>
    </w:p>
    <w:p>
      <w:pPr>
        <w:spacing w:before="80" w:after="80"/>
      </w:pPr>
      <w:r>
        <w:rPr>
          <w:rFonts w:ascii="Arial" w:cs="Arial" w:eastAsia="Arial" w:hAnsi="Arial"/>
          <w:b w:val="false"/>
          <w:bCs w:val="false"/>
          <w:i w:val="false"/>
          <w:iCs w:val="false"/>
          <w:color w:val="1C1C1C"/>
          <w:sz w:val="22"/>
          <w:szCs w:val="22"/>
        </w:rPr>
        <w:t xml:space="preserve">The master panel script (src/features/build_master_panel.py) is the culmination of all data work in v1 and v2a. It merges the country-level gold features (4,283 rows × 13 columns) with the world-level USD dominance data (25 rows × 13 columns) into a single unified analytical table.</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5.1  The Merge Strategy</w:t>
      </w:r>
    </w:p>
    <w:p>
      <w:pPr>
        <w:shd w:fill="F0EEE8" w:val="clear"/>
        <w:spacing w:before="36" w:after="36"/>
        <w:ind w:left="360" w:right="360"/>
      </w:pPr>
      <w:r>
        <w:rPr>
          <w:rFonts w:ascii="Courier New" w:cs="Courier New" w:eastAsia="Courier New" w:hAnsi="Courier New"/>
          <w:color w:val="2E4057"/>
          <w:sz w:val="18"/>
          <w:szCs w:val="18"/>
        </w:rPr>
        <w:t xml:space="preserve">gold  = pd.read_csv(CURATED_DIR / 'gold_features.csv')    # 4283 rows × 13 cols</w:t>
      </w:r>
    </w:p>
    <w:p>
      <w:pPr>
        <w:shd w:fill="F0EEE8" w:val="clear"/>
        <w:spacing w:before="36" w:after="36"/>
        <w:ind w:left="360" w:right="360"/>
      </w:pPr>
      <w:r>
        <w:rPr>
          <w:rFonts w:ascii="Courier New" w:cs="Courier New" w:eastAsia="Courier New" w:hAnsi="Courier New"/>
          <w:color w:val="2E4057"/>
          <w:sz w:val="18"/>
          <w:szCs w:val="18"/>
        </w:rPr>
        <w:t xml:space="preserve">usd   = pd.read_csv(STAGING_DIR / 'usd_dominance_clean.csv')  # 25 rows × 13 cols</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Left join on year — keeps ALL country-year rows</w:t>
      </w:r>
    </w:p>
    <w:p>
      <w:pPr>
        <w:shd w:fill="F0EEE8" w:val="clear"/>
        <w:spacing w:before="36" w:after="36"/>
        <w:ind w:left="360" w:right="360"/>
      </w:pPr>
      <w:r>
        <w:rPr>
          <w:rFonts w:ascii="Courier New" w:cs="Courier New" w:eastAsia="Courier New" w:hAnsi="Courier New"/>
          <w:color w:val="2E4057"/>
          <w:sz w:val="18"/>
          <w:szCs w:val="18"/>
        </w:rPr>
        <w:t xml:space="preserve"># Every country row gets the corresponding world-level context for that year</w:t>
      </w:r>
    </w:p>
    <w:p>
      <w:pPr>
        <w:shd w:fill="F0EEE8" w:val="clear"/>
        <w:spacing w:before="36" w:after="36"/>
        <w:ind w:left="360" w:right="360"/>
      </w:pPr>
      <w:r>
        <w:rPr>
          <w:rFonts w:ascii="Courier New" w:cs="Courier New" w:eastAsia="Courier New" w:hAnsi="Courier New"/>
          <w:color w:val="2E4057"/>
          <w:sz w:val="18"/>
          <w:szCs w:val="18"/>
        </w:rPr>
        <w:t xml:space="preserve">panel = gold.merge(usd, on='year', how='left')</w:t>
      </w:r>
    </w:p>
    <w:p>
      <w:pPr>
        <w:shd w:fill="F0EEE8" w:val="clear"/>
        <w:spacing w:before="36" w:after="36"/>
        <w:ind w:left="360" w:right="360"/>
      </w:pPr>
      <w:r>
        <w:rPr>
          <w:rFonts w:ascii="Courier New" w:cs="Courier New" w:eastAsia="Courier New" w:hAnsi="Courier New"/>
          <w:color w:val="2E4057"/>
          <w:sz w:val="18"/>
          <w:szCs w:val="18"/>
        </w:rPr>
        <w:t xml:space="preserve"># Result: 4283 rows × 25 cols</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The join key is year because the USD dominance data is at world level — it is the same for every country in a given year. A left join ensures all 178 countries × 25 years are preserved. If USD data were missing for a year, all countries in that year would get NaN for world-level columns, which is the correct behavior.</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5.2  Three New Derived Signals</w:t>
      </w:r>
    </w:p>
    <w:p>
      <w:pPr>
        <w:spacing w:before="60" w:after="0"/>
      </w:pPr>
      <w:r>
        <w:t xml:space="preserve"/>
      </w:r>
    </w:p>
    <w:p>
      <w:pPr>
        <w:pStyle w:val="Heading3"/>
        <w:spacing w:before="220" w:after="100"/>
      </w:pPr>
      <w:r>
        <w:rPr>
          <w:rFonts w:ascii="Arial" w:cs="Arial" w:eastAsia="Arial" w:hAnsi="Arial"/>
          <w:b/>
          <w:bCs/>
          <w:color w:val="2E4057"/>
          <w:sz w:val="24"/>
          <w:szCs w:val="24"/>
        </w:rPr>
        <w:t xml:space="preserve">Signal 1: gold_share_vs_world</w:t>
      </w:r>
    </w:p>
    <w:p>
      <w:pPr>
        <w:spacing w:before="80" w:after="80"/>
      </w:pPr>
      <w:r>
        <w:rPr>
          <w:rFonts w:ascii="Arial" w:cs="Arial" w:eastAsia="Arial" w:hAnsi="Arial"/>
          <w:b w:val="false"/>
          <w:bCs w:val="false"/>
          <w:i w:val="false"/>
          <w:iCs w:val="false"/>
          <w:color w:val="1C1C1C"/>
          <w:sz w:val="22"/>
          <w:szCs w:val="22"/>
        </w:rPr>
        <w:t xml:space="preserve">How much does this country's gold allocation deviate from the world average? A positive value means the country holds a higher-than-average proportion of gold in its reserves — indicating either a deliberate over-weighting or a legacy position:</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panel['gold_share_vs_world'] = (</w:t>
      </w:r>
    </w:p>
    <w:p>
      <w:pPr>
        <w:shd w:fill="F0EEE8" w:val="clear"/>
        <w:spacing w:before="36" w:after="36"/>
        <w:ind w:left="360" w:right="360"/>
      </w:pPr>
      <w:r>
        <w:rPr>
          <w:rFonts w:ascii="Courier New" w:cs="Courier New" w:eastAsia="Courier New" w:hAnsi="Courier New"/>
          <w:color w:val="2E4057"/>
          <w:sz w:val="18"/>
          <w:szCs w:val="18"/>
        </w:rPr>
        <w:t xml:space="preserve">    panel['gold_share_pct'] - panel['world_gold_share_pct']</w:t>
      </w:r>
    </w:p>
    <w:p>
      <w:pPr>
        <w:shd w:fill="F0EEE8" w:val="clear"/>
        <w:spacing w:before="36" w:after="36"/>
        <w:ind w:left="360" w:right="360"/>
      </w:pPr>
      <w:r>
        <w:rPr>
          <w:rFonts w:ascii="Courier New" w:cs="Courier New" w:eastAsia="Courier New" w:hAnsi="Courier New"/>
          <w:color w:val="2E4057"/>
          <w:sz w:val="18"/>
          <w:szCs w:val="18"/>
        </w:rPr>
        <w:t xml:space="preserve">).round(2)</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Example (2024):</w:t>
      </w:r>
    </w:p>
    <w:p>
      <w:pPr>
        <w:shd w:fill="F0EEE8" w:val="clear"/>
        <w:spacing w:before="36" w:after="36"/>
        <w:ind w:left="360" w:right="360"/>
      </w:pPr>
      <w:r>
        <w:rPr>
          <w:rFonts w:ascii="Courier New" w:cs="Courier New" w:eastAsia="Courier New" w:hAnsi="Courier New"/>
          <w:color w:val="2E4057"/>
          <w:sz w:val="18"/>
          <w:szCs w:val="18"/>
        </w:rPr>
        <w:t xml:space="preserve"># USA: 74.97% - 17.44% = +57.53 (massive over-weight — Bretton Woods legacy)</w:t>
      </w:r>
    </w:p>
    <w:p>
      <w:pPr>
        <w:shd w:fill="F0EEE8" w:val="clear"/>
        <w:spacing w:before="36" w:after="36"/>
        <w:ind w:left="360" w:right="360"/>
      </w:pPr>
      <w:r>
        <w:rPr>
          <w:rFonts w:ascii="Courier New" w:cs="Courier New" w:eastAsia="Courier New" w:hAnsi="Courier New"/>
          <w:color w:val="2E4057"/>
          <w:sz w:val="18"/>
          <w:szCs w:val="18"/>
        </w:rPr>
        <w:t xml:space="preserve"># China: 5.53% - 17.44% = -11.91 (significant under-weight — room to grow)</w:t>
      </w:r>
    </w:p>
    <w:p>
      <w:pPr>
        <w:shd w:fill="F0EEE8" w:val="clear"/>
        <w:spacing w:before="36" w:after="36"/>
        <w:ind w:left="360" w:right="360"/>
      </w:pPr>
      <w:r>
        <w:rPr>
          <w:rFonts w:ascii="Courier New" w:cs="Courier New" w:eastAsia="Courier New" w:hAnsi="Courier New"/>
          <w:color w:val="2E4057"/>
          <w:sz w:val="18"/>
          <w:szCs w:val="18"/>
        </w:rPr>
        <w:t xml:space="preserve"># Russia: 25.90% - 17.44% = +8.46 (moderate over-weight — deliberate policy)</w:t>
      </w:r>
    </w:p>
    <w:p>
      <w:pPr>
        <w:spacing w:before="100" w:after="0"/>
      </w:pPr>
      <w:r>
        <w:t xml:space="preserve"/>
      </w:r>
    </w:p>
    <w:p>
      <w:pPr>
        <w:pStyle w:val="Heading3"/>
        <w:spacing w:before="220" w:after="100"/>
      </w:pPr>
      <w:r>
        <w:rPr>
          <w:rFonts w:ascii="Arial" w:cs="Arial" w:eastAsia="Arial" w:hAnsi="Arial"/>
          <w:b/>
          <w:bCs/>
          <w:color w:val="2E4057"/>
          <w:sz w:val="24"/>
          <w:szCs w:val="24"/>
        </w:rPr>
        <w:t xml:space="preserve">Signal 2: accumulating_during_usd_decline</w:t>
      </w:r>
    </w:p>
    <w:p>
      <w:pPr>
        <w:spacing w:before="80" w:after="80"/>
      </w:pPr>
      <w:r>
        <w:rPr>
          <w:rFonts w:ascii="Arial" w:cs="Arial" w:eastAsia="Arial" w:hAnsi="Arial"/>
          <w:b w:val="false"/>
          <w:bCs w:val="false"/>
          <w:i w:val="false"/>
          <w:iCs w:val="false"/>
          <w:color w:val="1C1C1C"/>
          <w:sz w:val="22"/>
          <w:szCs w:val="22"/>
        </w:rPr>
        <w:t xml:space="preserve">This is the core behavioral alignment signal. It flags years when a country bought gold AND the global USD share fell — the two conditions that together suggest de-dollarization motivation:</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panel['accumulating_during_usd_decline'] = (</w:t>
      </w:r>
    </w:p>
    <w:p>
      <w:pPr>
        <w:shd w:fill="F0EEE8" w:val="clear"/>
        <w:spacing w:before="36" w:after="36"/>
        <w:ind w:left="360" w:right="360"/>
      </w:pPr>
      <w:r>
        <w:rPr>
          <w:rFonts w:ascii="Courier New" w:cs="Courier New" w:eastAsia="Courier New" w:hAnsi="Courier New"/>
          <w:color w:val="2E4057"/>
          <w:sz w:val="18"/>
          <w:szCs w:val="18"/>
        </w:rPr>
        <w:t xml:space="preserve">    (panel['is_accumulating'] == 1)      # country bought gold this year</w:t>
      </w:r>
    </w:p>
    <w:p>
      <w:pPr>
        <w:shd w:fill="F0EEE8" w:val="clear"/>
        <w:spacing w:before="36" w:after="36"/>
        <w:ind w:left="360" w:right="360"/>
      </w:pPr>
      <w:r>
        <w:rPr>
          <w:rFonts w:ascii="Courier New" w:cs="Courier New" w:eastAsia="Courier New" w:hAnsi="Courier New"/>
          <w:color w:val="2E4057"/>
          <w:sz w:val="18"/>
          <w:szCs w:val="18"/>
        </w:rPr>
        <w:t xml:space="preserve">    &amp;</w:t>
      </w:r>
    </w:p>
    <w:p>
      <w:pPr>
        <w:shd w:fill="F0EEE8" w:val="clear"/>
        <w:spacing w:before="36" w:after="36"/>
        <w:ind w:left="360" w:right="360"/>
      </w:pPr>
      <w:r>
        <w:rPr>
          <w:rFonts w:ascii="Courier New" w:cs="Courier New" w:eastAsia="Courier New" w:hAnsi="Courier New"/>
          <w:color w:val="2E4057"/>
          <w:sz w:val="18"/>
          <w:szCs w:val="18"/>
        </w:rPr>
        <w:t xml:space="preserve">    (panel['usd_share_yoy_change'] &lt; 0)  # global USD share fell this year</w:t>
      </w:r>
    </w:p>
    <w:p>
      <w:pPr>
        <w:shd w:fill="F0EEE8" w:val="clear"/>
        <w:spacing w:before="36" w:after="36"/>
        <w:ind w:left="360" w:right="360"/>
      </w:pPr>
      <w:r>
        <w:rPr>
          <w:rFonts w:ascii="Courier New" w:cs="Courier New" w:eastAsia="Courier New" w:hAnsi="Courier New"/>
          <w:color w:val="2E4057"/>
          <w:sz w:val="18"/>
          <w:szCs w:val="18"/>
        </w:rPr>
        <w:t xml:space="preserve">).astype(int)</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This is 1 only when BOTH conditions are true simultaneously</w:t>
      </w:r>
    </w:p>
    <w:p>
      <w:pPr>
        <w:shd w:fill="F0EEE8" w:val="clear"/>
        <w:spacing w:before="36" w:after="36"/>
        <w:ind w:left="360" w:right="360"/>
      </w:pPr>
      <w:r>
        <w:rPr>
          <w:rFonts w:ascii="Courier New" w:cs="Courier New" w:eastAsia="Courier New" w:hAnsi="Courier New"/>
          <w:color w:val="2E4057"/>
          <w:sz w:val="18"/>
          <w:szCs w:val="18"/>
        </w:rPr>
        <w:t xml:space="preserve"># Summing this over all years = 'years of aligned behavior'</w:t>
      </w:r>
    </w:p>
    <w:p>
      <w:pPr>
        <w:spacing w:before="100" w:after="0"/>
      </w:pPr>
      <w:r>
        <w:t xml:space="preserve"/>
      </w:r>
    </w:p>
    <w:p>
      <w:pPr>
        <w:pStyle w:val="Heading3"/>
        <w:spacing w:before="220" w:after="100"/>
      </w:pPr>
      <w:r>
        <w:rPr>
          <w:rFonts w:ascii="Arial" w:cs="Arial" w:eastAsia="Arial" w:hAnsi="Arial"/>
          <w:b/>
          <w:bCs/>
          <w:color w:val="2E4057"/>
          <w:sz w:val="24"/>
          <w:szCs w:val="24"/>
        </w:rPr>
        <w:t xml:space="preserve">Signal 3: country_share_of_world_gold_pct</w:t>
      </w:r>
    </w:p>
    <w:p>
      <w:pPr>
        <w:spacing w:before="80" w:after="80"/>
      </w:pPr>
      <w:r>
        <w:rPr>
          <w:rFonts w:ascii="Arial" w:cs="Arial" w:eastAsia="Arial" w:hAnsi="Arial"/>
          <w:b w:val="false"/>
          <w:bCs w:val="false"/>
          <w:i w:val="false"/>
          <w:iCs w:val="false"/>
          <w:color w:val="1C1C1C"/>
          <w:sz w:val="22"/>
          <w:szCs w:val="22"/>
        </w:rPr>
        <w:t xml:space="preserve">Each country's gold holdings as a fraction of all world gold holdings. This tracks whether a country is gaining or losing relative market share in gold over time:</w:t>
      </w:r>
    </w:p>
    <w:p>
      <w:pPr>
        <w:spacing w:before="60" w:after="0"/>
      </w:pPr>
      <w:r>
        <w:t xml:space="preserve"/>
      </w:r>
    </w:p>
    <w:p>
      <w:pPr>
        <w:shd w:fill="F0EEE8" w:val="clear"/>
        <w:spacing w:before="36" w:after="36"/>
        <w:ind w:left="360" w:right="360"/>
      </w:pPr>
      <w:r>
        <w:rPr>
          <w:rFonts w:ascii="Courier New" w:cs="Courier New" w:eastAsia="Courier New" w:hAnsi="Courier New"/>
          <w:color w:val="2E4057"/>
          <w:sz w:val="18"/>
          <w:szCs w:val="18"/>
        </w:rPr>
        <w:t xml:space="preserve">panel['country_share_of_world_gold_pct'] = (</w:t>
      </w:r>
    </w:p>
    <w:p>
      <w:pPr>
        <w:shd w:fill="F0EEE8" w:val="clear"/>
        <w:spacing w:before="36" w:after="36"/>
        <w:ind w:left="360" w:right="360"/>
      </w:pPr>
      <w:r>
        <w:rPr>
          <w:rFonts w:ascii="Courier New" w:cs="Courier New" w:eastAsia="Courier New" w:hAnsi="Courier New"/>
          <w:color w:val="2E4057"/>
          <w:sz w:val="18"/>
          <w:szCs w:val="18"/>
        </w:rPr>
        <w:t xml:space="preserve">    panel['gold_value_usd'] / (panel['world_gold_value_bn'] * 1e9) * 100</w:t>
      </w:r>
    </w:p>
    <w:p>
      <w:pPr>
        <w:shd w:fill="F0EEE8" w:val="clear"/>
        <w:spacing w:before="36" w:after="36"/>
        <w:ind w:left="360" w:right="360"/>
      </w:pPr>
      <w:r>
        <w:rPr>
          <w:rFonts w:ascii="Courier New" w:cs="Courier New" w:eastAsia="Courier New" w:hAnsi="Courier New"/>
          <w:color w:val="2E4057"/>
          <w:sz w:val="18"/>
          <w:szCs w:val="18"/>
        </w:rPr>
        <w:t xml:space="preserve">).round(4)</w:t>
      </w:r>
    </w:p>
    <w:p>
      <w:pPr>
        <w:shd w:fill="F0EEE8" w:val="clear"/>
        <w:spacing w:before="36" w:after="36"/>
        <w:ind w:left="360" w:right="360"/>
      </w:pPr>
      <w:r>
        <w:rPr>
          <w:rFonts w:ascii="Courier New" w:cs="Courier New" w:eastAsia="Courier New" w:hAnsi="Courier New"/>
          <w:color w:val="2E4057"/>
          <w:sz w:val="18"/>
          <w:szCs w:val="18"/>
        </w:rPr>
        <w:t xml:space="preserve"/>
      </w:r>
    </w:p>
    <w:p>
      <w:pPr>
        <w:shd w:fill="F0EEE8" w:val="clear"/>
        <w:spacing w:before="36" w:after="36"/>
        <w:ind w:left="360" w:right="360"/>
      </w:pPr>
      <w:r>
        <w:rPr>
          <w:rFonts w:ascii="Courier New" w:cs="Courier New" w:eastAsia="Courier New" w:hAnsi="Courier New"/>
          <w:color w:val="2E4057"/>
          <w:sz w:val="18"/>
          <w:szCs w:val="18"/>
        </w:rPr>
        <w:t xml:space="preserve"># Note: world_gold_value_bn is in billions, gold_value_usd in raw USD</w:t>
      </w:r>
    </w:p>
    <w:p>
      <w:pPr>
        <w:shd w:fill="F0EEE8" w:val="clear"/>
        <w:spacing w:before="36" w:after="36"/>
        <w:ind w:left="360" w:right="360"/>
      </w:pPr>
      <w:r>
        <w:rPr>
          <w:rFonts w:ascii="Courier New" w:cs="Courier New" w:eastAsia="Courier New" w:hAnsi="Courier New"/>
          <w:color w:val="2E4057"/>
          <w:sz w:val="18"/>
          <w:szCs w:val="18"/>
        </w:rPr>
        <w:t xml:space="preserve"># Multiply by 1e9 to get consistent units before dividing</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5.3  Master Panel — Final Schema</w:t>
      </w:r>
    </w:p>
    <w:p>
      <w:pPr>
        <w:spacing w:before="80" w:after="80"/>
      </w:pPr>
      <w:r>
        <w:rPr>
          <w:rFonts w:ascii="Arial" w:cs="Arial" w:eastAsia="Arial" w:hAnsi="Arial"/>
          <w:b w:val="false"/>
          <w:bCs w:val="false"/>
          <w:i w:val="false"/>
          <w:iCs w:val="false"/>
          <w:color w:val="1C1C1C"/>
          <w:sz w:val="22"/>
          <w:szCs w:val="22"/>
        </w:rPr>
        <w:t xml:space="preserve">The master panel has 28 columns organized into four groups: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c>
          <w:tcPr>
            <w:tcW w:type="dxa" w:w="20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Group</w:t>
            </w:r>
          </w:p>
        </w:tc>
        <w:tc>
          <w:tcPr>
            <w:tcW w:type="dxa" w:w="3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Columns</w:t>
            </w:r>
          </w:p>
        </w:tc>
        <w:tc>
          <w:tcPr>
            <w:tcW w:type="dxa" w:w="3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Source</w:t>
            </w:r>
          </w:p>
        </w:tc>
      </w:tr>
      <w:tr>
        <w:tc>
          <w:tcPr>
            <w:tcW w:type="dxa" w:w="20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Identity</w:t>
            </w:r>
          </w:p>
        </w:tc>
        <w:tc>
          <w:tcPr>
            <w:tcW w:type="dxa" w:w="37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country, country_code, year</w:t>
            </w:r>
          </w:p>
        </w:tc>
        <w:tc>
          <w:tcPr>
            <w:tcW w:type="dxa" w:w="3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World Bank (v1)</w:t>
            </w:r>
          </w:p>
        </w:tc>
      </w:tr>
      <w:tr>
        <w:tc>
          <w:tcPr>
            <w:tcW w:type="dxa" w:w="200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Gold metrics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total_reserves_usd, reserves_excl_gold_usd, gold_value_usd, gold_share_pct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World Bank API (v1 Silver)</w:t>
            </w:r>
          </w:p>
        </w:tc>
      </w:tr>
      <w:tr>
        <w:tc>
          <w:tcPr>
            <w:tcW w:type="dxa" w:w="20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bCs/>
                <w:color w:val="1A6B3C"/>
                <w:sz w:val="20"/>
                <w:szCs w:val="20"/>
              </w:rPr>
              <w:t xml:space="preserve">Gold features</w:t>
            </w:r>
          </w:p>
        </w:tc>
        <w:tc>
          <w:tcPr>
            <w:tcW w:type="dxa" w:w="37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gold_yoy_change_usd, gold_yoy_change_pct, gold_share_yoy_change, is_accumulating, accumulation_streak, gold_rank</w:t>
            </w:r>
          </w:p>
        </w:tc>
        <w:tc>
          <w:tcPr>
            <w:tcW w:type="dxa" w:w="3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Derived in v1 feature engineering</w:t>
            </w:r>
          </w:p>
        </w:tc>
      </w:tr>
      <w:tr>
        <w:tc>
          <w:tcPr>
            <w:tcW w:type="dxa" w:w="200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jc w:val="left"/>
            </w:pPr>
            <w:r>
              <w:rPr>
                <w:rFonts w:ascii="Arial" w:cs="Arial" w:eastAsia="Arial" w:hAnsi="Arial"/>
                <w:b/>
                <w:bCs/>
                <w:color w:val="185FA5"/>
                <w:sz w:val="20"/>
                <w:szCs w:val="20"/>
              </w:rPr>
              <w:t xml:space="preserve">USD dominance</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usd_share_of_reserves_pct, usd_share_yoy_change, usd_share_drawdown_pct, world_total_reserves_bn, world_gold_value_bn, world_gold_share_pct, us_gdp_bn, world_gdp_bn, us_gdp_share_pct, us_total_reserves_bn, us_gold_value_bn</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IMF COFER + World Bank (v2a)</w:t>
            </w:r>
          </w:p>
        </w:tc>
      </w:tr>
      <w:tr>
        <w:tc>
          <w:tcPr>
            <w:tcW w:type="dxa" w:w="2000"/>
            <w:tcBorders>
              <w:top w:val="single" w:color="DDDDDD" w:sz="1"/>
              <w:left w:val="single" w:color="DDDDDD" w:sz="1"/>
              <w:bottom w:val="single" w:color="DDDDDD" w:sz="1"/>
              <w:right w:val="single" w:color="DDDDDD" w:sz="1"/>
            </w:tcBorders>
            <w:shd w:fill="EEEDFE" w:val="clear"/>
            <w:tcMar>
              <w:top w:type="dxa" w:w="100"/>
              <w:left w:type="dxa" w:w="140"/>
              <w:bottom w:type="dxa" w:w="100"/>
              <w:right w:type="dxa" w:w="140"/>
            </w:tcMar>
          </w:tcPr>
          <w:p>
            <w:pPr>
              <w:jc w:val="left"/>
            </w:pPr>
            <w:r>
              <w:rPr>
                <w:rFonts w:ascii="Arial" w:cs="Arial" w:eastAsia="Arial" w:hAnsi="Arial"/>
                <w:b/>
                <w:bCs/>
                <w:color w:val="534AB7"/>
                <w:sz w:val="20"/>
                <w:szCs w:val="20"/>
              </w:rPr>
              <w:t xml:space="preserve">Derived signals</w:t>
            </w:r>
          </w:p>
        </w:tc>
        <w:tc>
          <w:tcPr>
            <w:tcW w:type="dxa" w:w="37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gold_share_vs_world, accumulating_during_usd_decline, country_share_of_world_gold_pct</w:t>
            </w:r>
          </w:p>
        </w:tc>
        <w:tc>
          <w:tcPr>
            <w:tcW w:type="dxa" w:w="3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Computed in master panel merge (v2a)</w:t>
            </w:r>
          </w:p>
        </w:tc>
      </w:tr>
    </w:tbl>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6. Key Findings from v2a Analysis</w:t>
      </w:r>
    </w:p>
    <w:p>
      <w:pPr>
        <w:pStyle w:val="Heading2"/>
        <w:pBdr>
          <w:left w:val="single" w:color="B8860B" w:sz="16" w:space="8"/>
        </w:pBdr>
        <w:spacing w:before="320" w:after="140"/>
        <w:ind w:left="200"/>
      </w:pPr>
      <w:r>
        <w:rPr>
          <w:rFonts w:ascii="Arial" w:cs="Arial" w:eastAsia="Arial" w:hAnsi="Arial"/>
          <w:b/>
          <w:bCs/>
          <w:color w:val="2E4057"/>
          <w:sz w:val="28"/>
          <w:szCs w:val="28"/>
        </w:rPr>
        <w:t xml:space="preserve">6.1  The Core Thesis — Confirmed</w:t>
      </w:r>
    </w:p>
    <w:p>
      <w:pPr>
        <w:spacing w:before="80" w:after="80"/>
      </w:pPr>
      <w:r>
        <w:rPr>
          <w:rFonts w:ascii="Arial" w:cs="Arial" w:eastAsia="Arial" w:hAnsi="Arial"/>
          <w:b w:val="false"/>
          <w:bCs w:val="false"/>
          <w:i w:val="false"/>
          <w:iCs w:val="false"/>
          <w:color w:val="1C1C1C"/>
          <w:sz w:val="22"/>
          <w:szCs w:val="22"/>
        </w:rPr>
        <w:t xml:space="preserve">The primary analytical question of the project was: does gold accumulation correlate with USD decline? After building the master panel and running the EDA, the answer is clearly yes.</w:t>
      </w:r>
    </w:p>
    <w:p>
      <w:pPr>
        <w:spacing w:before="8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USD share of global reserves fell from 71.13% in 2000 to 57.08% in 2024 — a 14.05 percentage point decline over 25 years. World gold reserves grew from $248.7B to $2,472.9B over the same period — a 10x increase. These two trends move in opposite directions with no exception across the entire 25-year dataset.</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6.2  The 2022 Inflection Point</w:t>
      </w:r>
    </w:p>
    <w:p>
      <w:pPr>
        <w:spacing w:before="80" w:after="80"/>
      </w:pPr>
      <w:r>
        <w:rPr>
          <w:rFonts w:ascii="Arial" w:cs="Arial" w:eastAsia="Arial" w:hAnsi="Arial"/>
          <w:b w:val="false"/>
          <w:bCs w:val="false"/>
          <w:i w:val="false"/>
          <w:iCs w:val="false"/>
          <w:color w:val="1C1C1C"/>
          <w:sz w:val="22"/>
          <w:szCs w:val="22"/>
        </w:rPr>
        <w:t xml:space="preserve">The most important structural shift in the dataset occurs in 2022. When the US and EU froze $300 billion of Russian central bank reserves following the Ukraine invasion, it sent a direct message to every non-Western central bank: USD-denominated assets can be seized as a geopolitical weapon.</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The data reflects this immediately:</w:t>
      </w:r>
    </w:p>
    <w:p>
      <w:pPr>
        <w:pStyle w:val="ListParagraph"/>
        <w:numPr>
          <w:ilvl w:val="0"/>
          <w:numId w:val="2"/>
        </w:numPr>
        <w:spacing w:before="70" w:after="70"/>
      </w:pPr>
      <w:r>
        <w:rPr>
          <w:rFonts w:ascii="Arial" w:cs="Arial" w:eastAsia="Arial" w:hAnsi="Arial"/>
          <w:b w:val="false"/>
          <w:bCs w:val="false"/>
          <w:color w:val="1C1C1C"/>
          <w:sz w:val="22"/>
          <w:szCs w:val="22"/>
        </w:rPr>
        <w:t xml:space="preserve">USD share fell from 58.81% (2021) to 58.36% (2022) to 57.33% (2023) — accelerating decline</w:t>
      </w:r>
    </w:p>
    <w:p>
      <w:pPr>
        <w:pStyle w:val="ListParagraph"/>
        <w:numPr>
          <w:ilvl w:val="0"/>
          <w:numId w:val="2"/>
        </w:numPr>
        <w:spacing w:before="70" w:after="70"/>
      </w:pPr>
      <w:r>
        <w:rPr>
          <w:rFonts w:ascii="Arial" w:cs="Arial" w:eastAsia="Arial" w:hAnsi="Arial"/>
          <w:b w:val="false"/>
          <w:bCs w:val="false"/>
          <w:color w:val="1C1C1C"/>
          <w:sz w:val="22"/>
          <w:szCs w:val="22"/>
        </w:rPr>
        <w:t xml:space="preserve">World gold reserves jumped from $1,803.6B (2021) to $1,818.3B (2022) to $2,093.5B (2023) to $2,472.9B (2024)</w:t>
      </w:r>
    </w:p>
    <w:p>
      <w:pPr>
        <w:pStyle w:val="ListParagraph"/>
        <w:numPr>
          <w:ilvl w:val="0"/>
          <w:numId w:val="2"/>
        </w:numPr>
        <w:spacing w:before="70" w:after="70"/>
      </w:pPr>
      <w:r>
        <w:rPr>
          <w:rFonts w:ascii="Arial" w:cs="Arial" w:eastAsia="Arial" w:hAnsi="Arial"/>
          <w:b w:val="false"/>
          <w:bCs w:val="false"/>
          <w:color w:val="1C1C1C"/>
          <w:sz w:val="22"/>
          <w:szCs w:val="22"/>
        </w:rPr>
        <w:t xml:space="preserve">The 2023-2024 increase of $379.4B represents the single largest two-year gold accumulation in the dataset</w:t>
      </w:r>
    </w:p>
    <w:p>
      <w:pPr>
        <w:spacing w:before="8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The Russia sanctions shock of 2022 is the most significant accelerant of de-dollarization and gold accumulation in the 25-year dataset. Every central bank watching from the outside drew the same conclusion: diversify away from USD assets.</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6.3  India — The Most Consistent Accumulator</w:t>
      </w:r>
    </w:p>
    <w:p>
      <w:pPr>
        <w:spacing w:before="80" w:after="80"/>
      </w:pPr>
      <w:r>
        <w:rPr>
          <w:rFonts w:ascii="Arial" w:cs="Arial" w:eastAsia="Arial" w:hAnsi="Arial"/>
          <w:b w:val="false"/>
          <w:bCs w:val="false"/>
          <w:i w:val="false"/>
          <w:iCs w:val="false"/>
          <w:color w:val="1C1C1C"/>
          <w:sz w:val="22"/>
          <w:szCs w:val="22"/>
        </w:rPr>
        <w:t xml:space="preserve">India leads the accumulating_during_usd_decline signal with 16 years of aligned behavior — more than any other country in the dataset. This means India was buying gold in 16 out of the years when the global USD share was also declining.</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India's accumulation pattern has several distinctive characteristics:</w:t>
      </w:r>
    </w:p>
    <w:p>
      <w:pPr>
        <w:pStyle w:val="ListParagraph"/>
        <w:numPr>
          <w:ilvl w:val="0"/>
          <w:numId w:val="2"/>
        </w:numPr>
        <w:spacing w:before="70" w:after="70"/>
      </w:pPr>
      <w:r>
        <w:rPr>
          <w:rFonts w:ascii="Arial" w:cs="Arial" w:eastAsia="Arial" w:hAnsi="Arial"/>
          <w:b w:val="false"/>
          <w:bCs w:val="false"/>
          <w:color w:val="1C1C1C"/>
          <w:sz w:val="22"/>
          <w:szCs w:val="22"/>
        </w:rPr>
        <w:t xml:space="preserve">9-year consecutive accumulation streak — the longest active streak in the dataset as of 2024</w:t>
      </w:r>
    </w:p>
    <w:p>
      <w:pPr>
        <w:pStyle w:val="ListParagraph"/>
        <w:numPr>
          <w:ilvl w:val="0"/>
          <w:numId w:val="2"/>
        </w:numPr>
        <w:spacing w:before="70" w:after="70"/>
      </w:pPr>
      <w:r>
        <w:rPr>
          <w:rFonts w:ascii="Arial" w:cs="Arial" w:eastAsia="Arial" w:hAnsi="Arial"/>
          <w:b w:val="false"/>
          <w:bCs w:val="false"/>
          <w:color w:val="1C1C1C"/>
          <w:sz w:val="22"/>
          <w:szCs w:val="22"/>
        </w:rPr>
        <w:t xml:space="preserve">Buying through multiple gold price cycles — continued accumulating even during the 2013 gold price crash</w:t>
      </w:r>
    </w:p>
    <w:p>
      <w:pPr>
        <w:pStyle w:val="ListParagraph"/>
        <w:numPr>
          <w:ilvl w:val="0"/>
          <w:numId w:val="2"/>
        </w:numPr>
        <w:spacing w:before="70" w:after="70"/>
      </w:pPr>
      <w:r>
        <w:rPr>
          <w:rFonts w:ascii="Arial" w:cs="Arial" w:eastAsia="Arial" w:hAnsi="Arial"/>
          <w:b w:val="false"/>
          <w:bCs w:val="false"/>
          <w:color w:val="1C1C1C"/>
          <w:sz w:val="22"/>
          <w:szCs w:val="22"/>
        </w:rPr>
        <w:t xml:space="preserve">Gold share rising steadily from ~3.5% in 2000 to 11.43% in 2024 — systematic portfolio reallocation</w:t>
      </w:r>
    </w:p>
    <w:p>
      <w:pPr>
        <w:pStyle w:val="ListParagraph"/>
        <w:numPr>
          <w:ilvl w:val="0"/>
          <w:numId w:val="2"/>
        </w:numPr>
        <w:spacing w:before="70" w:after="70"/>
      </w:pPr>
      <w:r>
        <w:rPr>
          <w:rFonts w:ascii="Arial" w:cs="Arial" w:eastAsia="Arial" w:hAnsi="Arial"/>
          <w:b w:val="false"/>
          <w:bCs w:val="false"/>
          <w:color w:val="1C1C1C"/>
          <w:sz w:val="22"/>
          <w:szCs w:val="22"/>
        </w:rPr>
        <w:t xml:space="preserve">Added $70.3B in gold over 2019-2024 alone — accelerating pace in recent years</w:t>
      </w:r>
    </w:p>
    <w:p>
      <w:pPr>
        <w:spacing w:before="8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India's gold accumulation strategy is the most disciplined and consistent in the dataset. Unlike China (strategic bursts) or Russia (politically reactive), India has pursued a quiet, steady, multi-decade reallocation toward gold — suggesting long-term reserve management policy rather than crisis response.</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6.4  China — The Strategic Buyer</w:t>
      </w:r>
    </w:p>
    <w:p>
      <w:pPr>
        <w:spacing w:before="80" w:after="80"/>
      </w:pPr>
      <w:r>
        <w:rPr>
          <w:rFonts w:ascii="Arial" w:cs="Arial" w:eastAsia="Arial" w:hAnsi="Arial"/>
          <w:b w:val="false"/>
          <w:bCs w:val="false"/>
          <w:i w:val="false"/>
          <w:iCs w:val="false"/>
          <w:color w:val="1C1C1C"/>
          <w:sz w:val="22"/>
          <w:szCs w:val="22"/>
        </w:rPr>
        <w:t xml:space="preserve">China presents a different profile from India. With $3.3T in total reserves, China's gold share of only 5.53% is dramatically below the world average of 17.44% — a gold_share_vs_world of -11.91 percentage points. This is not because China isn't buying; it's because their total reserves are so large that even $187.7B in purchases over 5 years barely moves the percentage.</w:t>
      </w:r>
    </w:p>
    <w:p>
      <w:pPr>
        <w:spacing w:before="80" w:after="0"/>
      </w:pPr>
      <w:r>
        <w:t xml:space="preserve"/>
      </w:r>
    </w:p>
    <w:p>
      <w:pPr>
        <w:pStyle w:val="ListParagraph"/>
        <w:numPr>
          <w:ilvl w:val="0"/>
          <w:numId w:val="2"/>
        </w:numPr>
        <w:spacing w:before="70" w:after="70"/>
      </w:pPr>
      <w:r>
        <w:rPr>
          <w:rFonts w:ascii="Arial" w:cs="Arial" w:eastAsia="Arial" w:hAnsi="Arial"/>
          <w:b w:val="false"/>
          <w:bCs w:val="false"/>
          <w:color w:val="1C1C1C"/>
          <w:sz w:val="22"/>
          <w:szCs w:val="22"/>
        </w:rPr>
        <w:t xml:space="preserve">China bought gold in 14 of the 16 years where USD share declined — the 2nd highest alignment score</w:t>
      </w:r>
    </w:p>
    <w:p>
      <w:pPr>
        <w:pStyle w:val="ListParagraph"/>
        <w:numPr>
          <w:ilvl w:val="0"/>
          <w:numId w:val="2"/>
        </w:numPr>
        <w:spacing w:before="70" w:after="70"/>
      </w:pPr>
      <w:r>
        <w:rPr>
          <w:rFonts w:ascii="Arial" w:cs="Arial" w:eastAsia="Arial" w:hAnsi="Arial"/>
          <w:b w:val="false"/>
          <w:bCs w:val="false"/>
          <w:color w:val="1C1C1C"/>
          <w:sz w:val="22"/>
          <w:szCs w:val="22"/>
        </w:rPr>
        <w:t xml:space="preserve">Added $187.7B over 2019-2024 — the largest absolute dollar accumulation of any country</w:t>
      </w:r>
    </w:p>
    <w:p>
      <w:pPr>
        <w:pStyle w:val="ListParagraph"/>
        <w:numPr>
          <w:ilvl w:val="0"/>
          <w:numId w:val="2"/>
        </w:numPr>
        <w:spacing w:before="70" w:after="70"/>
      </w:pPr>
      <w:r>
        <w:rPr>
          <w:rFonts w:ascii="Arial" w:cs="Arial" w:eastAsia="Arial" w:hAnsi="Arial"/>
          <w:b w:val="false"/>
          <w:bCs w:val="false"/>
          <w:color w:val="1C1C1C"/>
          <w:sz w:val="22"/>
          <w:szCs w:val="22"/>
        </w:rPr>
        <w:t xml:space="preserve">Yet gold share only moved from ~3.3% in 2015 to 5.53% in 2024 — the size of reserves absorbs purchases</w:t>
      </w:r>
    </w:p>
    <w:p>
      <w:pPr>
        <w:spacing w:before="8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China's gold share of 5.53% vs the world average of 17.44% represents a $392B+ gap if China were to match world average. This is the single largest potential source of future gold demand in the dataset and is a key variable for the v4 ML prediction model.</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6.5  Russia — Geopolitically Reactive</w:t>
      </w:r>
    </w:p>
    <w:p>
      <w:pPr>
        <w:spacing w:before="80" w:after="80"/>
      </w:pPr>
      <w:r>
        <w:rPr>
          <w:rFonts w:ascii="Arial" w:cs="Arial" w:eastAsia="Arial" w:hAnsi="Arial"/>
          <w:b w:val="false"/>
          <w:bCs w:val="false"/>
          <w:i w:val="false"/>
          <w:iCs w:val="false"/>
          <w:color w:val="1C1C1C"/>
          <w:sz w:val="22"/>
          <w:szCs w:val="22"/>
        </w:rPr>
        <w:t xml:space="preserve">Russia's pattern is the most clearly geopolitically driven in the dataset:</w:t>
      </w:r>
    </w:p>
    <w:p>
      <w:pPr>
        <w:pStyle w:val="ListParagraph"/>
        <w:numPr>
          <w:ilvl w:val="0"/>
          <w:numId w:val="2"/>
        </w:numPr>
        <w:spacing w:before="70" w:after="70"/>
      </w:pPr>
      <w:r>
        <w:rPr>
          <w:rFonts w:ascii="Arial" w:cs="Arial" w:eastAsia="Arial" w:hAnsi="Arial"/>
          <w:b w:val="false"/>
          <w:bCs w:val="false"/>
          <w:color w:val="1C1C1C"/>
          <w:sz w:val="22"/>
          <w:szCs w:val="22"/>
        </w:rPr>
        <w:t xml:space="preserve">2007-2014: gradual accumulation, gold share rising from ~5% to ~10%</w:t>
      </w:r>
    </w:p>
    <w:p>
      <w:pPr>
        <w:pStyle w:val="ListParagraph"/>
        <w:numPr>
          <w:ilvl w:val="0"/>
          <w:numId w:val="2"/>
        </w:numPr>
        <w:spacing w:before="70" w:after="70"/>
      </w:pPr>
      <w:r>
        <w:rPr>
          <w:rFonts w:ascii="Arial" w:cs="Arial" w:eastAsia="Arial" w:hAnsi="Arial"/>
          <w:b w:val="false"/>
          <w:bCs w:val="false"/>
          <w:color w:val="1C1C1C"/>
          <w:sz w:val="22"/>
          <w:szCs w:val="22"/>
        </w:rPr>
        <w:t xml:space="preserve">2014 (Crimea sanctions): acceleration begins — Russia recognized USD assets as a political liability</w:t>
      </w:r>
    </w:p>
    <w:p>
      <w:pPr>
        <w:pStyle w:val="ListParagraph"/>
        <w:numPr>
          <w:ilvl w:val="0"/>
          <w:numId w:val="2"/>
        </w:numPr>
        <w:spacing w:before="70" w:after="70"/>
      </w:pPr>
      <w:r>
        <w:rPr>
          <w:rFonts w:ascii="Arial" w:cs="Arial" w:eastAsia="Arial" w:hAnsi="Arial"/>
          <w:b w:val="false"/>
          <w:bCs w:val="false"/>
          <w:color w:val="1C1C1C"/>
          <w:sz w:val="22"/>
          <w:szCs w:val="22"/>
        </w:rPr>
        <w:t xml:space="preserve">2014-2022: near-continuous buying, gold share rising from ~10% to ~23%</w:t>
      </w:r>
    </w:p>
    <w:p>
      <w:pPr>
        <w:pStyle w:val="ListParagraph"/>
        <w:numPr>
          <w:ilvl w:val="0"/>
          <w:numId w:val="2"/>
        </w:numPr>
        <w:spacing w:before="70" w:after="70"/>
      </w:pPr>
      <w:r>
        <w:rPr>
          <w:rFonts w:ascii="Arial" w:cs="Arial" w:eastAsia="Arial" w:hAnsi="Arial"/>
          <w:b w:val="false"/>
          <w:bCs w:val="false"/>
          <w:color w:val="1C1C1C"/>
          <w:sz w:val="22"/>
          <w:szCs w:val="22"/>
        </w:rPr>
        <w:t xml:space="preserve">2022 onwards: buying halted — Western sanctions froze Russia's ability to transact in gold markets</w:t>
      </w:r>
    </w:p>
    <w:p>
      <w:pPr>
        <w:spacing w:before="80" w:after="0"/>
      </w:pPr>
      <w:r>
        <w:t xml:space="preserve"/>
      </w:r>
    </w:p>
    <w:p>
      <w:pPr>
        <w:spacing w:before="80" w:after="80"/>
      </w:pPr>
      <w:r>
        <w:rPr>
          <w:rFonts w:ascii="Arial" w:cs="Arial" w:eastAsia="Arial" w:hAnsi="Arial"/>
          <w:b w:val="false"/>
          <w:bCs w:val="false"/>
          <w:i w:val="false"/>
          <w:iCs w:val="false"/>
          <w:color w:val="1C1C1C"/>
          <w:sz w:val="22"/>
          <w:szCs w:val="22"/>
        </w:rPr>
        <w:t xml:space="preserve">Russia's 7-year consecutive streak (ended 2022) and 25.9% gold share are the direct result of deliberate post-2014 policy to reduce USD exposure. This is the textbook case of geopolitical motivation driving reserve policy — and the v2b geopolitical scoring layer will formalize this relationship.</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6.6  The USD Drawdown vs Gold Share Scatter</w:t>
      </w:r>
    </w:p>
    <w:p>
      <w:pPr>
        <w:spacing w:before="80" w:after="80"/>
      </w:pPr>
      <w:r>
        <w:rPr>
          <w:rFonts w:ascii="Arial" w:cs="Arial" w:eastAsia="Arial" w:hAnsi="Arial"/>
          <w:b w:val="false"/>
          <w:bCs w:val="false"/>
          <w:i w:val="false"/>
          <w:iCs w:val="false"/>
          <w:color w:val="1C1C1C"/>
          <w:sz w:val="22"/>
          <w:szCs w:val="22"/>
        </w:rPr>
        <w:t xml:space="preserve">The scatter plot (one dot per year, colored by recency) reveals the relationship between USD share drawdown and world gold share across time. Key observations:</w:t>
      </w:r>
    </w:p>
    <w:p>
      <w:pPr>
        <w:pStyle w:val="ListParagraph"/>
        <w:numPr>
          <w:ilvl w:val="0"/>
          <w:numId w:val="2"/>
        </w:numPr>
        <w:spacing w:before="70" w:after="70"/>
      </w:pPr>
      <w:r>
        <w:rPr>
          <w:rFonts w:ascii="Arial" w:cs="Arial" w:eastAsia="Arial" w:hAnsi="Arial"/>
          <w:b w:val="false"/>
          <w:bCs w:val="false"/>
          <w:color w:val="1C1C1C"/>
          <w:sz w:val="22"/>
          <w:szCs w:val="22"/>
        </w:rPr>
        <w:t xml:space="preserve">2000 dot: bottom-right (minimal drawdown, 11.71% gold share)</w:t>
      </w:r>
    </w:p>
    <w:p>
      <w:pPr>
        <w:pStyle w:val="ListParagraph"/>
        <w:numPr>
          <w:ilvl w:val="0"/>
          <w:numId w:val="2"/>
        </w:numPr>
        <w:spacing w:before="70" w:after="70"/>
      </w:pPr>
      <w:r>
        <w:rPr>
          <w:rFonts w:ascii="Arial" w:cs="Arial" w:eastAsia="Arial" w:hAnsi="Arial"/>
          <w:b w:val="false"/>
          <w:bCs w:val="false"/>
          <w:color w:val="1C1C1C"/>
          <w:sz w:val="22"/>
          <w:szCs w:val="22"/>
        </w:rPr>
        <w:t xml:space="preserve">Dots progress steadily toward top-left as years advance</w:t>
      </w:r>
    </w:p>
    <w:p>
      <w:pPr>
        <w:pStyle w:val="ListParagraph"/>
        <w:numPr>
          <w:ilvl w:val="0"/>
          <w:numId w:val="2"/>
        </w:numPr>
        <w:spacing w:before="70" w:after="70"/>
      </w:pPr>
      <w:r>
        <w:rPr>
          <w:rFonts w:ascii="Arial" w:cs="Arial" w:eastAsia="Arial" w:hAnsi="Arial"/>
          <w:b w:val="false"/>
          <w:bCs w:val="false"/>
          <w:color w:val="1C1C1C"/>
          <w:sz w:val="22"/>
          <w:szCs w:val="22"/>
        </w:rPr>
        <w:t xml:space="preserve">2024 dot: top-left extreme (-14.05 pp drawdown, 17.44% gold share) — furthest along the de-dollarization trajectory in the entire dataset</w:t>
      </w:r>
    </w:p>
    <w:p>
      <w:pPr>
        <w:pStyle w:val="ListParagraph"/>
        <w:numPr>
          <w:ilvl w:val="0"/>
          <w:numId w:val="2"/>
        </w:numPr>
        <w:spacing w:before="70" w:after="70"/>
      </w:pPr>
      <w:r>
        <w:rPr>
          <w:rFonts w:ascii="Arial" w:cs="Arial" w:eastAsia="Arial" w:hAnsi="Arial"/>
          <w:b w:val="false"/>
          <w:bCs w:val="false"/>
          <w:color w:val="1C1C1C"/>
          <w:sz w:val="22"/>
          <w:szCs w:val="22"/>
        </w:rPr>
        <w:t xml:space="preserve">The trajectory is continuous — there is no year where USD share rose significantly AND gold share also rose, or vice versa</w:t>
      </w:r>
    </w:p>
    <w:p>
      <w:pPr>
        <w:spacing w:before="8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The scatter shows a near-monotonic progression: every decade, the world has moved further along the USD decline / gold accumulation axis. This is not noise — it is a structural trend that has persisted through financial crises, commodity cycles, and geopolitical events for 25 consecutive years.</w:t>
      </w:r>
    </w:p>
    <w:p>
      <w:pPr>
        <w:spacing w:before="200" w:after="0"/>
      </w:pPr>
      <w:r>
        <w:t xml:space="preserve"/>
      </w:r>
    </w:p>
    <w:p>
      <w:r>
        <w:br w:type="page"/>
      </w:r>
    </w:p>
    <w:p>
      <w:pPr>
        <w:pStyle w:val="Heading1"/>
        <w:pBdr>
          <w:bottom w:val="single" w:color="B8860B" w:sz="8" w:space="6"/>
        </w:pBdr>
        <w:spacing w:before="480" w:after="200"/>
      </w:pPr>
      <w:r>
        <w:rPr>
          <w:rFonts w:ascii="Arial" w:cs="Arial" w:eastAsia="Arial" w:hAnsi="Arial"/>
          <w:b/>
          <w:bCs/>
          <w:color w:val="2E4057"/>
          <w:sz w:val="40"/>
          <w:szCs w:val="40"/>
        </w:rPr>
        <w:t xml:space="preserve">7. Charts Produced in v2a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w:t>
            </w:r>
          </w:p>
        </w:tc>
        <w:tc>
          <w:tcPr>
            <w:tcW w:type="dxa" w:w="2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Notebook</w:t>
            </w:r>
          </w:p>
        </w:tc>
        <w:tc>
          <w:tcPr>
            <w:tcW w:type="dxa" w:w="37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it shows</w:t>
            </w:r>
          </w:p>
        </w:tc>
      </w:tr>
      <w:tr>
        <w:tc>
          <w:tcPr>
            <w:tcW w:type="dxa" w:w="3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usd_vs_gold_thesis.png</w:t>
            </w:r>
          </w:p>
        </w:tc>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02_eda_usd_vs_gold</w:t>
            </w:r>
          </w:p>
        </w:tc>
        <w:tc>
          <w:tcPr>
            <w:tcW w:type="dxa" w:w="37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Dual axis: USD share (navy, left) vs world gold $bn (gold dashed, right) 2000-2024</w:t>
            </w:r>
          </w:p>
        </w:tc>
      </w:tr>
      <w:tr>
        <w:tc>
          <w:tcPr>
            <w:tcW w:type="dxa" w:w="3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accumulation_vs_usd_decline.png</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02_eda_usd_vs_gold</w:t>
            </w:r>
          </w:p>
        </w:tc>
        <w:tc>
          <w:tcPr>
            <w:tcW w:type="dxa" w:w="37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Horizontal bar chart: top 12 countries by years accumulating during USD decline</w:t>
            </w:r>
          </w:p>
        </w:tc>
      </w:tr>
      <w:tr>
        <w:tc>
          <w:tcPr>
            <w:tcW w:type="dxa" w:w="3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usd_drawdown_vs_gold_share.png</w:t>
            </w:r>
          </w:p>
        </w:tc>
        <w:tc>
          <w:tcPr>
            <w:tcW w:type="dxa" w:w="2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02_eda_usd_vs_gold</w:t>
            </w:r>
          </w:p>
        </w:tc>
        <w:tc>
          <w:tcPr>
            <w:tcW w:type="dxa" w:w="37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Scatter: USD drawdown (x) vs world gold share % (y), each dot = one year, colored by year</w:t>
            </w:r>
          </w:p>
        </w:tc>
      </w:tr>
    </w:tbl>
    <w:p>
      <w:pPr>
        <w:spacing w:before="120" w:after="0"/>
      </w:pPr>
      <w:r>
        <w:t xml:space="preserve"/>
      </w:r>
    </w:p>
    <w:p>
      <w:pPr>
        <w:spacing w:before="80" w:after="80"/>
      </w:pPr>
      <w:r>
        <w:rPr>
          <w:rFonts w:ascii="Arial" w:cs="Arial" w:eastAsia="Arial" w:hAnsi="Arial"/>
          <w:b w:val="false"/>
          <w:bCs w:val="false"/>
          <w:i w:val="false"/>
          <w:iCs w:val="false"/>
          <w:color w:val="1C1C1C"/>
          <w:sz w:val="22"/>
          <w:szCs w:val="22"/>
        </w:rPr>
        <w:t xml:space="preserve">All three charts are saved to docs/ and committed to the repository. The thesis chart (usd_vs_gold_thesis.png) is the headline visualization — it is the single image that most clearly communicates the project's core finding to a recruiter or stakeholder viewing the repository.</w:t>
      </w:r>
    </w:p>
    <w:p>
      <w:pPr>
        <w:spacing w:before="200" w:after="0"/>
      </w:pPr>
      <w:r>
        <w:t xml:space="preserve"/>
      </w:r>
    </w:p>
    <w:p>
      <w:pPr>
        <w:pStyle w:val="Heading1"/>
        <w:pBdr>
          <w:bottom w:val="single" w:color="B8860B" w:sz="8" w:space="6"/>
        </w:pBdr>
        <w:spacing w:before="480" w:after="200"/>
      </w:pPr>
      <w:r>
        <w:rPr>
          <w:rFonts w:ascii="Arial" w:cs="Arial" w:eastAsia="Arial" w:hAnsi="Arial"/>
          <w:b/>
          <w:bCs/>
          <w:color w:val="2E4057"/>
          <w:sz w:val="40"/>
          <w:szCs w:val="40"/>
        </w:rPr>
        <w:t xml:space="preserve">8. Git Commits in v2a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Hash</w:t>
            </w:r>
          </w:p>
        </w:tc>
        <w:tc>
          <w:tcPr>
            <w:tcW w:type="dxa" w:w="28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Commit</w:t>
            </w:r>
          </w:p>
        </w:tc>
        <w:tc>
          <w:tcPr>
            <w:tcW w:type="dxa" w:w="53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What was included</w:t>
            </w:r>
          </w:p>
        </w:tc>
      </w:tr>
      <w:tr>
        <w:tc>
          <w:tcPr>
            <w:tcW w:type="dxa" w:w="1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4d09a53</w:t>
            </w:r>
          </w:p>
        </w:tc>
        <w:tc>
          <w:tcPr>
            <w:tcW w:type="dxa" w:w="2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feat(v2a): USD dominance layer</w:t>
            </w:r>
          </w:p>
        </w:tc>
        <w:tc>
          <w:tcPr>
            <w:tcW w:type="dxa" w:w="5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imf_cofer.py, clean_usd_dominance.py, build_master_panel.py — all 3 scripts</w:t>
            </w:r>
          </w:p>
        </w:tc>
      </w:tr>
      <w:tr>
        <w:tc>
          <w:tcPr>
            <w:tcW w:type="dxa" w:w="1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e9cc7f6</w:t>
            </w:r>
          </w:p>
        </w:tc>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feat(v2a): EDA charts + gitignore</w:t>
            </w:r>
          </w:p>
        </w:tc>
        <w:tc>
          <w:tcPr>
            <w:tcW w:type="dxa" w:w="53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3 PNG charts in docs/, .gitignore updated to exclude anaconda_projects/</w:t>
            </w:r>
          </w:p>
        </w:tc>
      </w:tr>
      <w:tr>
        <w:tc>
          <w:tcPr>
            <w:tcW w:type="dxa" w:w="12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8e6ae59</w:t>
            </w:r>
          </w:p>
        </w:tc>
        <w:tc>
          <w:tcPr>
            <w:tcW w:type="dxa" w:w="28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bCs/>
                <w:color w:val="1C1C1C"/>
                <w:sz w:val="20"/>
                <w:szCs w:val="20"/>
              </w:rPr>
              <w:t xml:space="preserve">feat(v2a): EDA notebook</w:t>
            </w:r>
          </w:p>
        </w:tc>
        <w:tc>
          <w:tcPr>
            <w:tcW w:type="dxa" w:w="53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notebooks/02_eda_usd_vs_gold.ipynb — 4 cells, all charts</w:t>
            </w:r>
          </w:p>
        </w:tc>
      </w:tr>
    </w:tbl>
    <w:p>
      <w:pPr>
        <w:spacing w:before="120" w:after="0"/>
      </w:pPr>
      <w:r>
        <w:t xml:space="preserve"/>
      </w:r>
    </w:p>
    <w:p>
      <w:pPr>
        <w:spacing w:before="80" w:after="80"/>
      </w:pPr>
      <w:r>
        <w:rPr>
          <w:rFonts w:ascii="Arial" w:cs="Arial" w:eastAsia="Arial" w:hAnsi="Arial"/>
          <w:b w:val="false"/>
          <w:bCs w:val="false"/>
          <w:i w:val="false"/>
          <w:iCs w:val="false"/>
          <w:color w:val="1C1C1C"/>
          <w:sz w:val="22"/>
          <w:szCs w:val="22"/>
        </w:rPr>
        <w:t xml:space="preserve">Note: the first commit (4d09a53) grouped all three v2a scripts together because they were developed and tested as an integrated unit. The subsequent commits separated the outputs (charts, notebook) as they were produced. This is standard practice — commit the code when the logic is stable, commit the outputs when they are verified.</w:t>
      </w:r>
    </w:p>
    <w:p>
      <w:pPr>
        <w:spacing w:before="200" w:after="0"/>
      </w:pPr>
      <w:r>
        <w:t xml:space="preserve"/>
      </w:r>
    </w:p>
    <w:p>
      <w:pPr>
        <w:pStyle w:val="Heading1"/>
        <w:pBdr>
          <w:bottom w:val="single" w:color="B8860B" w:sz="8" w:space="6"/>
        </w:pBdr>
        <w:spacing w:before="480" w:after="200"/>
      </w:pPr>
      <w:r>
        <w:rPr>
          <w:rFonts w:ascii="Arial" w:cs="Arial" w:eastAsia="Arial" w:hAnsi="Arial"/>
          <w:b/>
          <w:bCs/>
          <w:color w:val="2E4057"/>
          <w:sz w:val="40"/>
          <w:szCs w:val="40"/>
        </w:rPr>
        <w:t xml:space="preserve">9. Data Files Produced in v2a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960"/>
        <w:gridCol w:w="3400"/>
      </w:tblGrid>
      <w:tr>
        <w:tc>
          <w:tcPr>
            <w:tcW w:type="dxa" w:w="1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16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Location</w:t>
            </w:r>
          </w:p>
        </w:tc>
        <w:tc>
          <w:tcPr>
            <w:tcW w:type="dxa" w:w="296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Filename</w:t>
            </w:r>
          </w:p>
        </w:tc>
        <w:tc>
          <w:tcPr>
            <w:tcW w:type="dxa" w:w="3400"/>
            <w:tcBorders>
              <w:top w:val="single" w:color="2E4057" w:sz="1"/>
              <w:left w:val="single" w:color="2E4057" w:sz="1"/>
              <w:bottom w:val="single" w:color="2E4057" w:sz="1"/>
              <w:right w:val="single" w:color="2E4057"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Contents</w:t>
            </w:r>
          </w:p>
        </w:tc>
      </w:tr>
      <w:tr>
        <w:tc>
          <w:tcPr>
            <w:tcW w:type="dxa" w:w="1400"/>
            <w:tcBorders>
              <w:top w:val="single" w:color="DDDDDD" w:sz="1"/>
              <w:left w:val="single" w:color="DDDDDD" w:sz="1"/>
              <w:bottom w:val="single" w:color="DDDDDD" w:sz="1"/>
              <w:right w:val="single" w:color="DDDDDD" w:sz="1"/>
            </w:tcBorders>
            <w:shd w:fill="FFF8E1" w:val="clear"/>
            <w:tcMar>
              <w:top w:type="dxa" w:w="100"/>
              <w:left w:type="dxa" w:w="140"/>
              <w:bottom w:type="dxa" w:w="100"/>
              <w:right w:type="dxa" w:w="140"/>
            </w:tcMar>
          </w:tcPr>
          <w:p>
            <w:pPr>
              <w:jc w:val="left"/>
            </w:pPr>
            <w:r>
              <w:rPr>
                <w:rFonts w:ascii="Arial" w:cs="Arial" w:eastAsia="Arial" w:hAnsi="Arial"/>
                <w:b/>
                <w:bCs/>
                <w:color w:val="854F0B"/>
                <w:sz w:val="20"/>
                <w:szCs w:val="20"/>
              </w:rPr>
              <w:t xml:space="preserve">Bronze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data/raw/</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usd_dominance_20260322.csv</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25 rows, 11 cols — raw World Bank + COFER data</w:t>
            </w:r>
          </w:p>
        </w:tc>
      </w:tr>
      <w:tr>
        <w:tc>
          <w:tcPr>
            <w:tcW w:type="dxa" w:w="14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tcPr>
          <w:p>
            <w:pPr>
              <w:jc w:val="left"/>
            </w:pPr>
            <w:r>
              <w:rPr>
                <w:rFonts w:ascii="Arial" w:cs="Arial" w:eastAsia="Arial" w:hAnsi="Arial"/>
                <w:b/>
                <w:bCs/>
                <w:color w:val="1A6B3C"/>
                <w:sz w:val="20"/>
                <w:szCs w:val="20"/>
              </w:rPr>
              <w:t xml:space="preserve">Silver</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data/staging/</w:t>
            </w:r>
          </w:p>
        </w:tc>
        <w:tc>
          <w:tcPr>
            <w:tcW w:type="dxa" w:w="2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usd_dominance_clean.csv</w:t>
            </w:r>
          </w:p>
        </w:tc>
        <w:tc>
          <w:tcPr>
            <w:tcW w:type="dxa" w:w="3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25 rows, 13 cols — scaled, drawdown and gold share derived</w:t>
            </w:r>
          </w:p>
        </w:tc>
      </w:tr>
      <w:tr>
        <w:tc>
          <w:tcPr>
            <w:tcW w:type="dxa" w:w="1400"/>
            <w:tcBorders>
              <w:top w:val="single" w:color="DDDDDD" w:sz="1"/>
              <w:left w:val="single" w:color="DDDDDD" w:sz="1"/>
              <w:bottom w:val="single" w:color="DDDDDD" w:sz="1"/>
              <w:right w:val="single" w:color="DDDDDD" w:sz="1"/>
            </w:tcBorders>
            <w:shd w:fill="E6F1FB" w:val="clear"/>
            <w:tcMar>
              <w:top w:type="dxa" w:w="100"/>
              <w:left w:type="dxa" w:w="140"/>
              <w:bottom w:type="dxa" w:w="100"/>
              <w:right w:type="dxa" w:w="140"/>
            </w:tcMar>
          </w:tcPr>
          <w:p>
            <w:pPr>
              <w:jc w:val="left"/>
            </w:pPr>
            <w:r>
              <w:rPr>
                <w:rFonts w:ascii="Arial" w:cs="Arial" w:eastAsia="Arial" w:hAnsi="Arial"/>
                <w:b/>
                <w:bCs/>
                <w:color w:val="185FA5"/>
                <w:sz w:val="20"/>
                <w:szCs w:val="20"/>
              </w:rPr>
              <w:t xml:space="preserve">Gold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data/curated/</w:t>
            </w:r>
          </w:p>
        </w:tc>
        <w:tc>
          <w:tcPr>
            <w:tcW w:type="dxa" w:w="29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master_panel.csv</w:t>
            </w:r>
          </w:p>
        </w:tc>
        <w:tc>
          <w:tcPr>
            <w:tcW w:type="dxa" w:w="34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4,283 rows, 28 cols — full merged analytical table</w:t>
            </w:r>
          </w:p>
        </w:tc>
      </w:tr>
      <w:tr>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Docs</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docs/</w:t>
            </w:r>
          </w:p>
        </w:tc>
        <w:tc>
          <w:tcPr>
            <w:tcW w:type="dxa" w:w="2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usd_vs_gold_thesis.png</w:t>
            </w:r>
          </w:p>
        </w:tc>
        <w:tc>
          <w:tcPr>
            <w:tcW w:type="dxa" w:w="3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Headline dual-axis thesis chart</w:t>
            </w:r>
          </w:p>
        </w:tc>
      </w:tr>
      <w:tr>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Docs</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docs/</w:t>
            </w:r>
          </w:p>
        </w:tc>
        <w:tc>
          <w:tcPr>
            <w:tcW w:type="dxa" w:w="2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accumulation_vs_usd_decline.png</w:t>
            </w:r>
          </w:p>
        </w:tc>
        <w:tc>
          <w:tcPr>
            <w:tcW w:type="dxa" w:w="3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Country alignment ranking bar chart</w:t>
            </w:r>
          </w:p>
        </w:tc>
      </w:tr>
      <w:tr>
        <w:tc>
          <w:tcPr>
            <w:tcW w:type="dxa" w:w="1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Docs</w:t>
            </w:r>
          </w:p>
        </w:tc>
        <w:tc>
          <w:tcPr>
            <w:tcW w:type="dxa" w:w="16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docs/</w:t>
            </w:r>
          </w:p>
        </w:tc>
        <w:tc>
          <w:tcPr>
            <w:tcW w:type="dxa" w:w="296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usd_drawdown_vs_gold_share.png</w:t>
            </w:r>
          </w:p>
        </w:tc>
        <w:tc>
          <w:tcPr>
            <w:tcW w:type="dxa" w:w="3400"/>
            <w:tcBorders>
              <w:top w:val="single" w:color="DDDDDD" w:sz="1"/>
              <w:left w:val="single" w:color="DDDDDD" w:sz="1"/>
              <w:bottom w:val="single" w:color="DDDDDD" w:sz="1"/>
              <w:right w:val="single" w:color="DDDDDD" w:sz="1"/>
            </w:tcBorders>
            <w:shd w:fill="F7F6F1" w:val="clear"/>
            <w:tcMar>
              <w:top w:type="dxa" w:w="100"/>
              <w:left w:type="dxa" w:w="140"/>
              <w:bottom w:type="dxa" w:w="100"/>
              <w:right w:type="dxa" w:w="140"/>
            </w:tcMar>
          </w:tcPr>
          <w:p>
            <w:pPr>
              <w:jc w:val="left"/>
            </w:pPr>
            <w:r>
              <w:rPr>
                <w:rFonts w:ascii="Arial" w:cs="Arial" w:eastAsia="Arial" w:hAnsi="Arial"/>
                <w:b w:val="false"/>
                <w:bCs w:val="false"/>
                <w:color w:val="1C1C1C"/>
                <w:sz w:val="20"/>
                <w:szCs w:val="20"/>
              </w:rPr>
              <w:t xml:space="preserve">Scatter: drawdown vs gold share, one dot per year</w:t>
            </w:r>
          </w:p>
        </w:tc>
      </w:tr>
    </w:tbl>
    <w:p>
      <w:pPr>
        <w:spacing w:before="200" w:after="0"/>
      </w:pPr>
      <w:r>
        <w:t xml:space="preserve"/>
      </w:r>
    </w:p>
    <w:p>
      <w:pPr>
        <w:pStyle w:val="Heading1"/>
        <w:pBdr>
          <w:bottom w:val="single" w:color="B8860B" w:sz="8" w:space="6"/>
        </w:pBdr>
        <w:spacing w:before="480" w:after="200"/>
      </w:pPr>
      <w:r>
        <w:rPr>
          <w:rFonts w:ascii="Arial" w:cs="Arial" w:eastAsia="Arial" w:hAnsi="Arial"/>
          <w:b/>
          <w:bCs/>
          <w:color w:val="2E4057"/>
          <w:sz w:val="40"/>
          <w:szCs w:val="40"/>
        </w:rPr>
        <w:t xml:space="preserve">10. What v2b Will Add — Geopolitical Scoring</w:t>
      </w:r>
    </w:p>
    <w:p>
      <w:pPr>
        <w:spacing w:before="80" w:after="80"/>
      </w:pPr>
      <w:r>
        <w:rPr>
          <w:rFonts w:ascii="Arial" w:cs="Arial" w:eastAsia="Arial" w:hAnsi="Arial"/>
          <w:b w:val="false"/>
          <w:bCs w:val="false"/>
          <w:i w:val="false"/>
          <w:iCs w:val="false"/>
          <w:color w:val="1C1C1C"/>
          <w:sz w:val="22"/>
          <w:szCs w:val="22"/>
        </w:rPr>
        <w:t xml:space="preserve">v2a established the macro context (USD declining, gold rising globally). v2b will add the country-level political context: why are specific countries accumulating faster than others? Two scores will be built:</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10.1  Sanctions Exposure Score</w:t>
      </w:r>
    </w:p>
    <w:p>
      <w:pPr>
        <w:spacing w:before="80" w:after="80"/>
      </w:pPr>
      <w:r>
        <w:rPr>
          <w:rFonts w:ascii="Arial" w:cs="Arial" w:eastAsia="Arial" w:hAnsi="Arial"/>
          <w:b w:val="false"/>
          <w:bCs w:val="false"/>
          <w:i w:val="false"/>
          <w:iCs w:val="false"/>
          <w:color w:val="1C1C1C"/>
          <w:sz w:val="22"/>
          <w:szCs w:val="22"/>
        </w:rPr>
        <w:t xml:space="preserve">Countries under US/Western sanctions have the strongest motivation to hold non-USD assets — their USD reserves can be frozen or seized. The OFAC (Office of Foreign Assets Control) sanctions list is publicly available and will be processed to produce a sanctions_exposure_score per country per year:</w:t>
      </w:r>
    </w:p>
    <w:p>
      <w:pPr>
        <w:pStyle w:val="ListParagraph"/>
        <w:numPr>
          <w:ilvl w:val="0"/>
          <w:numId w:val="2"/>
        </w:numPr>
        <w:spacing w:before="70" w:after="70"/>
      </w:pPr>
      <w:r>
        <w:rPr>
          <w:rFonts w:ascii="Arial" w:cs="Arial" w:eastAsia="Arial" w:hAnsi="Arial"/>
          <w:b w:val="false"/>
          <w:bCs w:val="false"/>
          <w:color w:val="1C1C1C"/>
          <w:sz w:val="22"/>
          <w:szCs w:val="22"/>
        </w:rPr>
        <w:t xml:space="preserve">Source: OFAC Specially Designated Nationals list (updated regularly, public download)</w:t>
      </w:r>
    </w:p>
    <w:p>
      <w:pPr>
        <w:pStyle w:val="ListParagraph"/>
        <w:numPr>
          <w:ilvl w:val="0"/>
          <w:numId w:val="2"/>
        </w:numPr>
        <w:spacing w:before="70" w:after="70"/>
      </w:pPr>
      <w:r>
        <w:rPr>
          <w:rFonts w:ascii="Arial" w:cs="Arial" w:eastAsia="Arial" w:hAnsi="Arial"/>
          <w:b w:val="false"/>
          <w:bCs w:val="false"/>
          <w:color w:val="1C1C1C"/>
          <w:sz w:val="22"/>
          <w:szCs w:val="22"/>
        </w:rPr>
        <w:t xml:space="preserve">Score: number of active OFAC designations linked to a country's government or state entities</w:t>
      </w:r>
    </w:p>
    <w:p>
      <w:pPr>
        <w:pStyle w:val="ListParagraph"/>
        <w:numPr>
          <w:ilvl w:val="0"/>
          <w:numId w:val="2"/>
        </w:numPr>
        <w:spacing w:before="70" w:after="70"/>
      </w:pPr>
      <w:r>
        <w:rPr>
          <w:rFonts w:ascii="Arial" w:cs="Arial" w:eastAsia="Arial" w:hAnsi="Arial"/>
          <w:b w:val="false"/>
          <w:bCs w:val="false"/>
          <w:color w:val="1C1C1C"/>
          <w:sz w:val="22"/>
          <w:szCs w:val="22"/>
        </w:rPr>
        <w:t xml:space="preserve">Expected high scorers: Russia, Iran, Venezuela, North Korea, Belarus</w:t>
      </w:r>
    </w:p>
    <w:p>
      <w:pPr>
        <w:pStyle w:val="ListParagraph"/>
        <w:numPr>
          <w:ilvl w:val="0"/>
          <w:numId w:val="2"/>
        </w:numPr>
        <w:spacing w:before="70" w:after="70"/>
      </w:pPr>
      <w:r>
        <w:rPr>
          <w:rFonts w:ascii="Arial" w:cs="Arial" w:eastAsia="Arial" w:hAnsi="Arial"/>
          <w:b w:val="false"/>
          <w:bCs w:val="false"/>
          <w:color w:val="1C1C1C"/>
          <w:sz w:val="22"/>
          <w:szCs w:val="22"/>
        </w:rPr>
        <w:t xml:space="preserve">This score will be merged into the master panel as a new column</w:t>
      </w:r>
    </w:p>
    <w:p>
      <w:pPr>
        <w:spacing w:before="120" w:after="0"/>
      </w:pPr>
      <w:r>
        <w:t xml:space="preserve"/>
      </w:r>
    </w:p>
    <w:p>
      <w:pPr>
        <w:pStyle w:val="Heading2"/>
        <w:pBdr>
          <w:left w:val="single" w:color="B8860B" w:sz="16" w:space="8"/>
        </w:pBdr>
        <w:spacing w:before="320" w:after="140"/>
        <w:ind w:left="200"/>
      </w:pPr>
      <w:r>
        <w:rPr>
          <w:rFonts w:ascii="Arial" w:cs="Arial" w:eastAsia="Arial" w:hAnsi="Arial"/>
          <w:b/>
          <w:bCs/>
          <w:color w:val="2E4057"/>
          <w:sz w:val="28"/>
          <w:szCs w:val="28"/>
        </w:rPr>
        <w:t xml:space="preserve">10.2  UN Voting Alignment Score</w:t>
      </w:r>
    </w:p>
    <w:p>
      <w:pPr>
        <w:spacing w:before="80" w:after="80"/>
      </w:pPr>
      <w:r>
        <w:rPr>
          <w:rFonts w:ascii="Arial" w:cs="Arial" w:eastAsia="Arial" w:hAnsi="Arial"/>
          <w:b w:val="false"/>
          <w:bCs w:val="false"/>
          <w:i w:val="false"/>
          <w:iCs w:val="false"/>
          <w:color w:val="1C1C1C"/>
          <w:sz w:val="22"/>
          <w:szCs w:val="22"/>
        </w:rPr>
        <w:t xml:space="preserve">Countries that consistently vote against the US in UN General Assembly resolutions are demonstrating political distance from the US-led international order — and may therefore be more motivated to reduce USD dependency:</w:t>
      </w:r>
    </w:p>
    <w:p>
      <w:pPr>
        <w:pStyle w:val="ListParagraph"/>
        <w:numPr>
          <w:ilvl w:val="0"/>
          <w:numId w:val="2"/>
        </w:numPr>
        <w:spacing w:before="70" w:after="70"/>
      </w:pPr>
      <w:r>
        <w:rPr>
          <w:rFonts w:ascii="Arial" w:cs="Arial" w:eastAsia="Arial" w:hAnsi="Arial"/>
          <w:b w:val="false"/>
          <w:bCs w:val="false"/>
          <w:color w:val="1C1C1C"/>
          <w:sz w:val="22"/>
          <w:szCs w:val="22"/>
        </w:rPr>
        <w:t xml:space="preserve">Source: UN General Assembly voting records (public, available via un.org data portal or UNvotes R package exported to CSV)</w:t>
      </w:r>
    </w:p>
    <w:p>
      <w:pPr>
        <w:pStyle w:val="ListParagraph"/>
        <w:numPr>
          <w:ilvl w:val="0"/>
          <w:numId w:val="2"/>
        </w:numPr>
        <w:spacing w:before="70" w:after="70"/>
      </w:pPr>
      <w:r>
        <w:rPr>
          <w:rFonts w:ascii="Arial" w:cs="Arial" w:eastAsia="Arial" w:hAnsi="Arial"/>
          <w:b w:val="false"/>
          <w:bCs w:val="false"/>
          <w:color w:val="1C1C1C"/>
          <w:sz w:val="22"/>
          <w:szCs w:val="22"/>
        </w:rPr>
        <w:t xml:space="preserve">Score: percentage of UNGA votes where country voted same as US (high = aligned, low = divergent)</w:t>
      </w:r>
    </w:p>
    <w:p>
      <w:pPr>
        <w:pStyle w:val="ListParagraph"/>
        <w:numPr>
          <w:ilvl w:val="0"/>
          <w:numId w:val="2"/>
        </w:numPr>
        <w:spacing w:before="70" w:after="70"/>
      </w:pPr>
      <w:r>
        <w:rPr>
          <w:rFonts w:ascii="Arial" w:cs="Arial" w:eastAsia="Arial" w:hAnsi="Arial"/>
          <w:b w:val="false"/>
          <w:bCs w:val="false"/>
          <w:color w:val="1C1C1C"/>
          <w:sz w:val="22"/>
          <w:szCs w:val="22"/>
        </w:rPr>
        <w:t xml:space="preserve">Expected pattern: Russia, China, Iran low alignment; UK, Australia, Israel, Canada high alignment</w:t>
      </w:r>
    </w:p>
    <w:p>
      <w:pPr>
        <w:pStyle w:val="ListParagraph"/>
        <w:numPr>
          <w:ilvl w:val="0"/>
          <w:numId w:val="2"/>
        </w:numPr>
        <w:spacing w:before="70" w:after="70"/>
      </w:pPr>
      <w:r>
        <w:rPr>
          <w:rFonts w:ascii="Arial" w:cs="Arial" w:eastAsia="Arial" w:hAnsi="Arial"/>
          <w:b w:val="false"/>
          <w:bCs w:val="false"/>
          <w:color w:val="1C1C1C"/>
          <w:sz w:val="22"/>
          <w:szCs w:val="22"/>
        </w:rPr>
        <w:t xml:space="preserve">Hypothesis: low alignment score → higher gold accumulation</w:t>
      </w:r>
    </w:p>
    <w:p>
      <w:pPr>
        <w:spacing w:before="120" w:after="0"/>
      </w:pPr>
      <w:r>
        <w:t xml:space="preserve"/>
      </w:r>
    </w:p>
    <w:p>
      <w:pPr>
        <w:spacing w:before="80" w:after="80"/>
      </w:pPr>
      <w:r>
        <w:rPr>
          <w:rFonts w:ascii="Arial" w:cs="Arial" w:eastAsia="Arial" w:hAnsi="Arial"/>
          <w:b w:val="false"/>
          <w:bCs w:val="false"/>
          <w:i w:val="false"/>
          <w:iCs w:val="false"/>
          <w:color w:val="1C1C1C"/>
          <w:sz w:val="22"/>
          <w:szCs w:val="22"/>
        </w:rPr>
        <w:t xml:space="preserve">With both scores in the master panel, v2b will enable a key analytical question: does geopolitical distance from the US predict gold accumulation, independently of economic size?</w:t>
      </w:r>
    </w:p>
    <w:p>
      <w:pPr>
        <w:spacing w:before="160" w:after="0"/>
      </w:pPr>
      <w:r>
        <w:t xml:space="preserve"/>
      </w:r>
    </w:p>
    <w:p>
      <w:pPr>
        <w:pBdr>
          <w:left w:val="single" w:color="B8860B" w:sz="20" w:space="10"/>
        </w:pBdr>
        <w:shd w:fill="FDFAF0" w:val="clear"/>
        <w:spacing w:before="140" w:after="140"/>
        <w:ind w:left="400" w:right="200"/>
      </w:pPr>
      <w:r>
        <w:rPr>
          <w:rFonts w:ascii="Arial" w:cs="Arial" w:eastAsia="Arial" w:hAnsi="Arial"/>
          <w:b/>
          <w:bCs/>
          <w:color w:val="1C1C1C"/>
          <w:sz w:val="22"/>
          <w:szCs w:val="22"/>
        </w:rPr>
        <w:t xml:space="preserve">The v2b geopolitical scores are also the most important feature inputs for the v4 ML prediction model. A country's sanctions exposure and UN alignment score are more forward-looking signals than historical gold buying patterns alone.</w:t>
      </w:r>
    </w:p>
    <w:p>
      <w:pPr>
        <w:spacing w:before="300" w:after="0"/>
      </w:pPr>
      <w:r>
        <w:t xml:space="preserve"/>
      </w:r>
    </w:p>
    <w:p>
      <w:pPr>
        <w:pBdr>
          <w:bottom w:val="single" w:color="DDDDDD" w:sz="2"/>
        </w:pBdr>
        <w:spacing w:before="200" w:after="200"/>
      </w:pPr>
      <w:r>
        <w:t xml:space="preserve"/>
      </w:r>
    </w:p>
    <w:p>
      <w:pPr>
        <w:jc w:val="center"/>
      </w:pPr>
      <w:r>
        <w:rPr>
          <w:rFonts w:ascii="Arial" w:cs="Arial" w:eastAsia="Arial" w:hAnsi="Arial"/>
          <w:color w:val="666666"/>
          <w:sz w:val="18"/>
          <w:szCs w:val="18"/>
        </w:rPr>
        <w:t xml:space="preserve">Gold Reserve Analytics Platform  |  v2a Phase Report  |  March 2026  |  github.com/sathwikarr/gold-reserve-platform</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2E4057"/>
      <w:sz w:val="40"/>
      <w:szCs w:val="40"/>
    </w:rPr>
  </w:style>
  <w:style w:type="paragraph" w:styleId="Heading2">
    <w:name w:val="Heading 2"/>
    <w:basedOn w:val="Normal"/>
    <w:next w:val="Normal"/>
    <w:qFormat/>
    <w:pPr>
      <w:spacing w:before="320" w:after="140"/>
      <w:outlineLvl w:val="1"/>
    </w:pPr>
    <w:rPr>
      <w:rFonts w:ascii="Arial" w:cs="Arial" w:eastAsia="Arial" w:hAnsi="Arial"/>
      <w:b/>
      <w:bCs/>
      <w:color w:val="2E4057"/>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2026-03-23T00:21:14.844Z</dcterms:created>
  <dcterms:modified xsi:type="dcterms:W3CDTF">2026-03-23T00:21:14.845Z</dcterms:modified>
</cp:coreProperties>
</file>

<file path=docProps/custom.xml><?xml version="1.0" encoding="utf-8"?>
<Properties xmlns="http://schemas.openxmlformats.org/officeDocument/2006/custom-properties" xmlns:vt="http://schemas.openxmlformats.org/officeDocument/2006/docPropsVTypes"/>
</file>