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242"/>
        <w:tblW w:w="12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3380"/>
        <w:gridCol w:w="7240"/>
      </w:tblGrid>
      <w:tr w:rsidR="00507CA9" w:rsidRPr="001531B3" w:rsidTr="001531B3">
        <w:trPr>
          <w:trHeight w:val="42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Mode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b/>
                <w:bCs/>
                <w:color w:val="44546A"/>
                <w:sz w:val="20"/>
                <w:szCs w:val="20"/>
              </w:rPr>
              <w:t>Hostapd.conf</w:t>
            </w:r>
            <w:proofErr w:type="spellEnd"/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WCNSS_qcom_cfg.ini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11b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=b ; ieee80211n=0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Default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11bg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=g ; ieee80211n=0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Default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2.4G HT20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=g 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gEnableVhtFor24GHzBand=0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2.4G VHT20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=g 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gEnableVhtFor24GHzBand=1(enabled by default)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2.4G HT40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=g 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gDot11Mode=4;gChannelBondingMode24GHz=1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11a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ieee80211n=0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Default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5G HT20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gDot11Mode=4;gChannelBondingMode5GHz=0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5G VHT20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gDot11Mode=0;gChannelBondingMode5GHz=0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5G HT40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gDot11Mode=4;gChannelBondingMode5GHz=1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5G VHT40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gVhtChannelWidth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=1;gDot11Mode=0;gChannelBondingMode5GHz=1</w:t>
            </w:r>
          </w:p>
        </w:tc>
      </w:tr>
      <w:tr w:rsidR="00507CA9" w:rsidRPr="001531B3" w:rsidTr="001531B3">
        <w:trPr>
          <w:trHeight w:val="4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CA9" w:rsidRPr="001531B3" w:rsidRDefault="00507CA9" w:rsidP="001531B3">
            <w:pPr>
              <w:rPr>
                <w:b/>
                <w:bCs/>
                <w:color w:val="44546A"/>
                <w:sz w:val="20"/>
                <w:szCs w:val="20"/>
              </w:rPr>
            </w:pPr>
            <w:r w:rsidRPr="001531B3">
              <w:rPr>
                <w:b/>
                <w:bCs/>
                <w:color w:val="44546A"/>
                <w:sz w:val="20"/>
                <w:szCs w:val="20"/>
              </w:rPr>
              <w:t>5G VHT80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proofErr w:type="spellStart"/>
            <w:r w:rsidRPr="001531B3">
              <w:rPr>
                <w:color w:val="44546A"/>
                <w:sz w:val="20"/>
                <w:szCs w:val="20"/>
              </w:rPr>
              <w:t>hw_mode</w:t>
            </w:r>
            <w:proofErr w:type="spellEnd"/>
            <w:r w:rsidRPr="001531B3">
              <w:rPr>
                <w:color w:val="44546A"/>
                <w:sz w:val="20"/>
                <w:szCs w:val="20"/>
              </w:rPr>
              <w:t>=a; ieee80211n=1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CA9" w:rsidRPr="001531B3" w:rsidRDefault="00507CA9" w:rsidP="001531B3">
            <w:pPr>
              <w:rPr>
                <w:color w:val="44546A"/>
                <w:sz w:val="20"/>
                <w:szCs w:val="20"/>
              </w:rPr>
            </w:pPr>
            <w:r w:rsidRPr="001531B3">
              <w:rPr>
                <w:color w:val="44546A"/>
                <w:sz w:val="20"/>
                <w:szCs w:val="20"/>
              </w:rPr>
              <w:t>Default(gVhtChannelWidth=2;gDot11Mode=0;gChannelBondingMode5GHz=1)</w:t>
            </w:r>
          </w:p>
        </w:tc>
      </w:tr>
    </w:tbl>
    <w:p w:rsidR="00507CA9" w:rsidRDefault="00507CA9" w:rsidP="00507CA9">
      <w:pPr>
        <w:rPr>
          <w:color w:val="44546A"/>
        </w:rPr>
      </w:pPr>
    </w:p>
    <w:p w:rsidR="00530B8F" w:rsidRDefault="00530B8F">
      <w:bookmarkStart w:id="0" w:name="_GoBack"/>
      <w:bookmarkEnd w:id="0"/>
    </w:p>
    <w:sectPr w:rsidR="00530B8F" w:rsidSect="00D44A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89"/>
    <w:rsid w:val="00082C89"/>
    <w:rsid w:val="001531B3"/>
    <w:rsid w:val="00507CA9"/>
    <w:rsid w:val="00530B8F"/>
    <w:rsid w:val="00D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E08D-0753-43C8-AFFE-2087346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A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>Qualcomm Incorporated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Gurrappadiya, Satya Sai</dc:creator>
  <cp:keywords/>
  <dc:description/>
  <cp:lastModifiedBy>Gurrappadiya, Satya Sai</cp:lastModifiedBy>
  <cp:revision>4</cp:revision>
  <dcterms:created xsi:type="dcterms:W3CDTF">2015-06-04T12:26:00Z</dcterms:created>
  <dcterms:modified xsi:type="dcterms:W3CDTF">2015-06-04T12:27:00Z</dcterms:modified>
</cp:coreProperties>
</file>