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4F46E5"/>
          <w:sz w:val="48"/>
        </w:rPr>
        <w:t>Customer Persona Segmenter</w:t>
      </w:r>
    </w:p>
    <w:p>
      <w:pPr>
        <w:spacing w:after="400"/>
      </w:pPr>
      <w:r>
        <w:rPr>
          <w:rFonts w:ascii="Arial" w:hAnsi="Arial"/>
          <w:i/>
          <w:color w:val="6B7280"/>
          <w:sz w:val="24"/>
        </w:rPr>
        <w:t>Comprehensive Technical Report — Unsupervised Machine Learning &amp; Interactive Web Architecture</w:t>
      </w:r>
    </w:p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11827"/>
          <w:sz w:val="32"/>
        </w:rPr>
        <w:t>1. Executive Summary &amp; Project Objectives</w:t>
      </w:r>
    </w:p>
    <w:p>
      <w:pPr>
        <w:spacing w:after="160"/>
      </w:pPr>
      <w:r>
        <w:rPr>
          <w:rFonts w:ascii="Arial" w:hAnsi="Arial"/>
          <w:sz w:val="22"/>
        </w:rPr>
        <w:t>The primary objective of the Customer Persona Segmenter project is to automate customer behavior analysis and strategic audience targeting using Unsupervised Machine Learning. In enterprise e-commerce environments, customer records typically lack explicit segment labels. This system addresses that challenge by applying K-Means Clustering to group customers into actionable marketing personas based on financial capacity and purchasing propensity.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Objective 1: Eliminate manual heuristic customer segmentation by training an Unsupervised K-Means Clustering algorithm.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Objective 2: Build a production-grade FastAPI REST API server to expose model inference endpoints for seamless enterprise integration.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Objective 3: Develop a responsive Streamlit web dashboard providing real-time single customer prediction, custom CSV batch processing, and interactive visual analytics.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Objective 4: Design a polished UI with dark mode ergonomics, crisp typography, and refined slate-grey container styling (#4B5563).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11827"/>
          <w:sz w:val="32"/>
        </w:rPr>
        <w:t>2. Persona Classification Framework &amp; Domain Analysis</w:t>
      </w:r>
    </w:p>
    <w:p>
      <w:pPr>
        <w:spacing w:after="160"/>
      </w:pPr>
      <w:r>
        <w:rPr>
          <w:rFonts w:ascii="Arial" w:hAnsi="Arial"/>
          <w:sz w:val="22"/>
        </w:rPr>
        <w:t>The clustering model evaluates two core normalized continuous features: Annual Income ($k) and Spending Score (rating scale 1-100). Through unsupervised partitioning, the algorithm identifies three distinct, non-overlapping customer personas: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293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Cluster ID</w:t>
            </w:r>
          </w:p>
        </w:tc>
        <w:tc>
          <w:tcPr>
            <w:tcW w:type="dxa" w:w="2340"/>
            <w:shd w:fill="1F293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Persona Name</w:t>
            </w:r>
          </w:p>
        </w:tc>
        <w:tc>
          <w:tcPr>
            <w:tcW w:type="dxa" w:w="2340"/>
            <w:shd w:fill="1F293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Behavioral &amp; Financial Profile</w:t>
            </w:r>
          </w:p>
        </w:tc>
        <w:tc>
          <w:tcPr>
            <w:tcW w:type="dxa" w:w="2340"/>
            <w:shd w:fill="1F293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Targeted Marketing Action</w:t>
            </w:r>
          </w:p>
        </w:tc>
      </w:tr>
      <w:tr>
        <w:tc>
          <w:tcPr>
            <w:tcW w:type="dxa" w:w="2340"/>
            <w:shd w:fill="F9FAFB"/>
          </w:tcPr>
          <w:p>
            <w:r>
              <w:rPr>
                <w:rFonts w:ascii="Arial" w:hAnsi="Arial"/>
                <w:sz w:val="19"/>
              </w:rPr>
              <w:t>Cluster 0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Arial" w:hAnsi="Arial"/>
                <w:sz w:val="19"/>
              </w:rPr>
              <w:t>VIP / High Spender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Arial" w:hAnsi="Arial"/>
                <w:sz w:val="19"/>
              </w:rPr>
              <w:t>High Annual Income ($85k+), High Spending Score (75+)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Arial" w:hAnsi="Arial"/>
                <w:sz w:val="19"/>
              </w:rPr>
              <w:t>Exclusive loyalty rewards, early product launches, luxury upselling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9"/>
              </w:rPr>
              <w:t>Cluster 1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9"/>
              </w:rPr>
              <w:t>Balanced / Core Customer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9"/>
              </w:rPr>
              <w:t>Moderate Income ($50k-$75k), Moderate Spending (40-60)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9"/>
              </w:rPr>
              <w:t>Cross-selling campaigns, membership perks, standard retention programs</w:t>
            </w:r>
          </w:p>
        </w:tc>
      </w:tr>
      <w:tr>
        <w:tc>
          <w:tcPr>
            <w:tcW w:type="dxa" w:w="2340"/>
            <w:shd w:fill="F9FAFB"/>
          </w:tcPr>
          <w:p>
            <w:r>
              <w:rPr>
                <w:rFonts w:ascii="Arial" w:hAnsi="Arial"/>
                <w:sz w:val="19"/>
              </w:rPr>
              <w:t>Cluster 2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Arial" w:hAnsi="Arial"/>
                <w:sz w:val="19"/>
              </w:rPr>
              <w:t>Frugal / Budget Customer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Arial" w:hAnsi="Arial"/>
                <w:sz w:val="19"/>
              </w:rPr>
              <w:t>Low-to-Moderate Income ($20k-$45k), Low Spending (10-35)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Arial" w:hAnsi="Arial"/>
                <w:sz w:val="19"/>
              </w:rPr>
              <w:t>Discount coupons, value bundles, clearance alerts, price-breakdown deals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11827"/>
          <w:sz w:val="32"/>
        </w:rPr>
        <w:t>3. System Capabilities &amp; Feature Overview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Real-Time Single Customer Prediction: Instant inference of customer segment, centroid location, persona badge, description, and marketing action via sliders or quick preset buttons.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Batch Dataset CSV Processing: Upload custom CSV datasets (or fallback to customers.csv), automatically detect income and spending columns, batch-predict all rows, display tabular segment breakdowns, and export labeled CSV results.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Interactive 2D Feature Space Plotting: Generates clear dark-mode Matplotlib/Seaborn scatter plots illustrating all cluster datapoints, cluster centroids (starred), target customer diamonds, and feature space boundaries.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Dedicated Fullscreen Graph Expander: High-resolution expanded visualization view for presentation and reporting.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Dual Backend &amp; Frontend Operation: Functions seamlessly as a headless FastAPI REST server (port 8000) or as an interactive Streamlit web dashboard (port 8501) with local fallback reliability.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71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customer_prediction_17899178206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Arial" w:hAnsi="Arial"/>
          <w:i/>
          <w:color w:val="6B7280"/>
          <w:sz w:val="19"/>
        </w:rPr>
        <w:t>Figure 1: Streamlit Dashboard — Single Customer Prediction &amp; 2D Cluster Space Plot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11827"/>
          <w:sz w:val="32"/>
        </w:rPr>
        <w:t>4. System Architecture &amp; Technical Implementation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F2937"/>
          <w:sz w:val="26"/>
        </w:rPr>
        <w:t>Step 1: Data Engineering &amp; Preprocessing</w:t>
      </w:r>
    </w:p>
    <w:p>
      <w:pPr>
        <w:spacing w:after="120"/>
      </w:pPr>
      <w:r>
        <w:rPr>
          <w:rFonts w:ascii="Arial" w:hAnsi="Arial"/>
          <w:sz w:val="21"/>
        </w:rPr>
        <w:t>Generated dataset_unsupervised.py to produce customers.csv with 600 records. Applied StandardScaler scaling to eliminate feature magnitude bias between income ($k) and spending score (1-100).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F2937"/>
          <w:sz w:val="26"/>
        </w:rPr>
        <w:t>Step 2: Model Selection &amp; Unsupervised Training</w:t>
      </w:r>
    </w:p>
    <w:p>
      <w:pPr>
        <w:spacing w:after="120"/>
      </w:pPr>
      <w:r>
        <w:rPr>
          <w:rFonts w:ascii="Arial" w:hAnsi="Arial"/>
          <w:sz w:val="21"/>
        </w:rPr>
        <w:t>Implemented train_kmeans.py using scikit-learn's KMeans clustering. Evaluated cluster quality across K=2 to K=6 using Silhouette Score and Elbow Method, establishing K=3 as optimal. Serialized model artifacts to disk.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F2937"/>
          <w:sz w:val="26"/>
        </w:rPr>
        <w:t>Step 3: REST API Server Engineering</w:t>
      </w:r>
    </w:p>
    <w:p>
      <w:pPr>
        <w:spacing w:after="120"/>
      </w:pPr>
      <w:r>
        <w:rPr>
          <w:rFonts w:ascii="Arial" w:hAnsi="Arial"/>
          <w:sz w:val="21"/>
        </w:rPr>
        <w:t>Developed main_unsupervised.py with FastAPI, implementing auto-loading of model artifacts on startup, Pydantic data validation schemas, error handling, and a structured POST /predict endpoint.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F2937"/>
          <w:sz w:val="26"/>
        </w:rPr>
        <w:t>Step 4: Streamlit Web Dashboard Development</w:t>
      </w:r>
    </w:p>
    <w:p>
      <w:pPr>
        <w:spacing w:after="120"/>
      </w:pPr>
      <w:r>
        <w:rPr>
          <w:rFonts w:ascii="Arial" w:hAnsi="Arial"/>
          <w:sz w:val="21"/>
        </w:rPr>
        <w:t>Created app_unsupervised.py providing a responsive dual-tab interface for single customer prediction and batch dataset analysis, connected asynchronously to the FastAPI backend with local fallback handling.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F2937"/>
          <w:sz w:val="26"/>
        </w:rPr>
        <w:t>Step 5: Visual Styling &amp; UI Customization</w:t>
      </w:r>
    </w:p>
    <w:p>
      <w:pPr>
        <w:spacing w:after="120"/>
      </w:pPr>
      <w:r>
        <w:rPr>
          <w:rFonts w:ascii="Arial" w:hAnsi="Arial"/>
          <w:sz w:val="21"/>
        </w:rPr>
        <w:t>Implemented custom CSS for dark mode (#0B0F19 background, #111827 sidebar), streamlined tab pills, high-contrast file uploader widget styling, crisp white typography (#FFFFFF), and sleek grey border finishes (#4B5563).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11827"/>
          <w:sz w:val="32"/>
        </w:rPr>
        <w:t>5. Experimental Results &amp; Final Deliverables</w:t>
      </w:r>
    </w:p>
    <w:p>
      <w:pPr>
        <w:spacing w:after="160"/>
      </w:pPr>
      <w:r>
        <w:rPr>
          <w:rFonts w:ascii="Arial" w:hAnsi="Arial"/>
          <w:sz w:val="22"/>
        </w:rPr>
        <w:t>The implementation achieved clean mathematical convergence ($K=3$), yielding distinct centroids and intuitive cluster separation. All technical deliverables were verified and deployed: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FastAPI REST Backend: Active on http://127.0.0.1:8000 (Swagger docs available at http://127.0.0.1:8000/docs).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Streamlit Web Application: Active on http://localhost:8501 with tabbed navigation, batch CSV processing, and export functions.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Model Artifacts: Trained and serialized files (kmeans_model.pkl, scaler.pkl, persona_map.pkl).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Exported Labeled Datasets: Ability to download segmented customer records (segmented_customers.csv) with assigned personas and marketing strategies.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Formal Documentation: Customer_Persona_Segmenter_Technical_Report.docx ready for executive presentation.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71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dataset_analysis_tab2_17899184555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Arial" w:hAnsi="Arial"/>
          <w:i/>
          <w:color w:val="6B7280"/>
          <w:sz w:val="19"/>
        </w:rPr>
        <w:t>Figure 2: Streamlit Dashboard — Batch Dataset Analysis &amp; Customer Segmentation Breakdown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