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E550FA" w14:textId="2438D92B" w:rsidR="00E8F69F" w:rsidRDefault="00E8F69F">
      <w:pPr>
        <w:spacing w:after="200"/>
      </w:pPr>
      <w:r>
        <w:rPr>
          <w:b w:val="0"/>
          <w:color w:val="5D6875"/>
          <w:sz w:val="17"/>
        </w:rPr>
        <w:t>Rothwell Bank  |  Economics  |  Initial claims preview  |  Thursday 8 October 2026</w:t>
      </w:r>
    </w:p>
    <w:p w14:paraId="2C49F0E5" w14:textId="54A765DD" w:rsidR="00423B48" w:rsidRDefault="00423B48">
      <w:pPr>
        <w:spacing w:after="160"/>
      </w:pPr>
      <w:r>
        <w:rPr>
          <w:b/>
          <w:color w:val="1F4E79"/>
          <w:sz w:val="30"/>
        </w:rPr>
        <w:t>Initial claims, week ended 10 October: about 17,000</w:t>
      </w:r>
    </w:p>
    <w:p w14:paraId="44975FAA" w14:textId="351655A8" w:rsidR="00A3D7AF" w:rsidRDefault="00A3D7AF">
      <w:pPr>
        <w:spacing w:after="160"/>
      </w:pPr>
      <w:r>
        <w:rPr>
          <w:b w:val="0"/>
          <w:sz w:val="21"/>
        </w:rPr>
        <w:t>We expect the Unemployment Insurance Board to report about 17,000 initial claims for the claims week ended 10 October 2026 when it publishes the advance count next Thursday, 15 October, up from 11,814 in the week ended 3 October.</w:t>
      </w:r>
    </w:p>
    <w:p w14:paraId="2CABDBD4" w14:textId="4CE3541C" w:rsidR="0036C334" w:rsidRDefault="0036C334">
      <w:r>
        <w:rPr>
          <w:b w:val="0"/>
        </w:rPr>
        <w:t>The week ended 10 October is the first claims week of the fourth quarter, the first in which claimants refused in July to September for want of base-period earnings can file again. How many of them do depends on where and when they were refused. Over the past 50 quarter turns, in Western, Coastal and Island, where most of the refused are seasonal hotel and building workers whose last season now counts, between two thirds and nine tenths of those refused in a quarter's last month have filed again in the first week, against under one in five of those refused in its first two months, most of whom have found other work by the turn; in the other regions few file again at all. This quarter's refusals sit where and when claimants come back: the third quarter left 26,035 monetarily ineligible determinations, 40.1 per cent of them in Western, Coastal and Island, and 55.3 per cent of those three regions' came in September, as the winter season ended and builders and hotels let staff go, against about a third in a quarter's last month at a usual turn.</w:t>
      </w:r>
    </w:p>
    <w:p w14:paraId="0557E3CB" w14:textId="635FB76E" w:rsidR="0050A5E7" w:rsidRDefault="0050A5E7">
      <w:pPr>
        <w:keepNext/>
        <w:spacing w:after="120"/>
      </w:pPr>
      <w:r>
        <w:rPr>
          <w:b w:val="0"/>
        </w:rPr>
        <w:t>Taking each region's refusals month by month at its own rates, we put the claims filed again at 5,000 to 6,000, about nine tenths of them in Western, Coastal and Island, on top of 11,000 to 12,000 for the rest of the week. Counting every refusal of the quarter alike would put the week near 15,000, and the national refusals at the national rate near 13,000, as low as a seasonal reading of past October first weeks.</w:t>
      </w:r>
    </w:p>
    <w:p w14:paraId="6EC5F79B" w14:textId="671F94A0" w:rsidR="00A7DCCB" w:rsidRDefault="00A7DCCB">
      <w:pPr>
        <w:keepNext/>
        <w:spacing w:after="20"/>
        <w:jc w:val="center"/>
      </w:pPr>
      <w:r>
        <w:drawing>
          <wp:inline xmlns:a="http://schemas.openxmlformats.org/drawingml/2006/main" xmlns:pic="http://schemas.openxmlformats.org/drawingml/2006/picture">
            <wp:extent cx="5903999" cy="235304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903999" cy="2353043"/>
                    </a:xfrm>
                    <a:prstGeom prst="rect"/>
                  </pic:spPr>
                </pic:pic>
              </a:graphicData>
            </a:graphic>
          </wp:inline>
        </w:drawing>
      </w:r>
    </w:p>
    <w:p w14:paraId="1F7E933D" w14:textId="6FE913DE" w:rsidR="0014580F" w:rsidRDefault="0014580F">
      <w:pPr>
        <w:spacing w:after="180"/>
      </w:pPr>
      <w:r>
        <w:rPr>
          <w:b w:val="0"/>
          <w:color w:val="5D6875"/>
          <w:sz w:val="16"/>
        </w:rPr>
        <w:t>National initial claims by claims week, not seasonally adjusted; the week ended 3 October at its advance count. Initial claims are new and additional claims as the board counts them (technical notes, section 2.2). Source: Unemployment Insurance Board weekly claims and program statistics; Rothwell Bank Economics.</w:t>
      </w:r>
    </w:p>
    <w:p w14:paraId="3E65A427" w14:textId="4FD6B066" w:rsidR="00A3D7AF" w:rsidRDefault="00A3D7AF">
      <w:pPr>
        <w:spacing w:after="200"/>
      </w:pPr>
      <w:r>
        <w:rPr>
          <w:b w:val="0"/>
        </w:rPr>
        <w:t>Layoffs already notified to the board for the rest of the year, by region, and the third quarter's change in claims by industry are in the attached workbook. Construction and accommodation account for almost all of the rise in claims on a year ago; five of the other twelve industry groups are lower.</w:t>
      </w:r>
    </w:p>
    <w:p w14:paraId="7B50C5EE" w14:textId="7193A907" w:rsidR="00423B48" w:rsidRDefault="00423B48">
      <w:pPr>
        <w:spacing w:after="0"/>
      </w:pPr>
      <w:r>
        <w:rPr>
          <w:b/>
        </w:rPr>
        <w:t>Stacey Baxter</w:t>
      </w:r>
    </w:p>
    <w:p w14:paraId="3431F695" w14:textId="0835AD04" w:rsidR="00A7DCCB" w:rsidRDefault="00A7DCCB">
      <w:pPr>
        <w:spacing w:after="280"/>
      </w:pPr>
      <w:r>
        <w:rPr>
          <w:b w:val="0"/>
          <w:color w:val="5D6875"/>
          <w:sz w:val="18"/>
        </w:rPr>
        <w:t>Senior Economist, Rothwell Bank</w:t>
      </w:r>
    </w:p>
    <w:p w14:paraId="133F5B3D" w14:textId="65CB1FB5" w:rsidR="0036C334" w:rsidRDefault="0036C334">
      <w:pPr>
        <w:spacing w:after="0"/>
      </w:pPr>
      <w:r>
        <w:rPr>
          <w:b w:val="0"/>
          <w:color w:val="5D6875"/>
          <w:sz w:val="15"/>
        </w:rPr>
        <w:t>This note is prepared by Rothwell Bank Economics for the bank's clients. It is not investment advice.</w:t>
      </w:r>
    </w:p>
    <w:sectPr w:rsidR="00E8F69F" w:rsidRPr="0036C334" w:rsidSect="00ADF6C7">
      <w:pgSz w:w="11906" w:h="16838"/>
      <w:pgMar w:top="1020"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CA285"/>
    <w:rsid w:val="000CA285"/>
    <w:rsid w:val="0014580F"/>
    <w:rsid w:val="0036C334"/>
    <w:rsid w:val="00423B48"/>
    <w:rsid w:val="0050A5E7"/>
    <w:rsid w:val="00A3D7AF"/>
    <w:rsid w:val="00A7DCCB"/>
    <w:rsid w:val="00ADF6C7"/>
    <w:rsid w:val="00E8F6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1967A08"/>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F69F"/>
    <w:pPr>
      <w:spacing w:after="120"/>
    </w:pPr>
    <w:rPr>
      <w:rFonts w:ascii="Calibri" w:hAnsi="Calibr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TotalTime>
  <Pages>1</Pages>
  <Words>448</Words>
  <Characters>2148</Characters>
  <Application>Microsoft Office Word</Application>
  <DocSecurity>0</DocSecurity>
  <Lines>28</Lines>
  <Paragraphs>10</Paragraphs>
  <ScaleCrop>false</ScaleCrop>
  <HeadingPairs>
    <vt:vector size="2" baseType="variant">
      <vt:variant>
        <vt:lpstr>Title</vt:lpstr>
      </vt:variant>
      <vt:variant>
        <vt:i4>1</vt:i4>
      </vt:variant>
    </vt:vector>
  </HeadingPairs>
  <TitlesOfParts>
    <vt:vector size="1" baseType="lpstr">
      <vt:lpstr>Initial claims preview, week ended 10 October 2026</vt:lpstr>
    </vt:vector>
  </TitlesOfParts>
  <Company>Rothwell Bank</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claims preview, week ended 10 October 2026</dc:title>
  <dc:subject/>
  <dc:creator>Stacey Baxter</dc:creator>
  <cp:keywords/>
  <dc:description/>
  <cp:lastModifiedBy>Stacey Baxter</cp:lastModifiedBy>
  <cp:revision>6</cp:revision>
  <dcterms:created xsi:type="dcterms:W3CDTF">2026-10-08T01:12:00Z</dcterms:created>
  <dcterms:modified xsi:type="dcterms:W3CDTF">2026-10-08T03:51:00Z</dcterms:modified>
</cp:coreProperties>
</file>