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i w:val="0"/>
          <w:color w:val="555555"/>
          <w:sz w:val="18"/>
        </w:rPr>
        <w:t>QUALITY NOTE: 2027 ANNUAL LABOUR MARKET FLOWS</w:t>
      </w:r>
    </w:p>
    <w:p>
      <w:pPr>
        <w:spacing w:after="200"/>
      </w:pPr>
      <w:r>
        <w:rPr>
          <w:b w:val="0"/>
          <w:i w:val="0"/>
          <w:color w:val="555555"/>
          <w:sz w:val="18"/>
        </w:rPr>
        <w:t>To: the management meeting, through Atinuke Adebisi, Director    From: Comfort Olawale, survey methodologist    Date: 10 February 2028</w:t>
      </w:r>
    </w:p>
    <w:p>
      <w:pPr>
        <w:spacing w:after="160"/>
      </w:pPr>
      <w:r>
        <w:rPr>
          <w:b/>
          <w:i w:val="0"/>
          <w:sz w:val="26"/>
        </w:rPr>
        <w:t>The 2027 annual flows tables cannot go out without the classification-error warning: 13 of the 24 district rates carry it.</w:t>
      </w:r>
    </w:p>
    <w:p>
      <w:pPr>
        <w:spacing w:after="160"/>
      </w:pPr>
      <w:r>
        <w:rPr>
          <w:b w:val="0"/>
          <w:i w:val="0"/>
        </w:rPr>
        <w:t>The warning goes on the job-finding rates of Industrial Corridor, Cocoa Belt East, Cocoa Belt West, Northern Savanna, Central Hills and Creeks, and on the job-loss rates of Lagoon Coast, Cocoa Belt East, Cocoa Belt West, Northern Savanna, Central Hills, River Basin and University Towns. In each of them 45.1 to 69.0 per cent of the moves the rate counts are not real moves, a third or more. The other 11 rates go out without it, at 11.9 to 23.2 per cent. The chart shows every rate against the line.</w:t>
      </w:r>
    </w:p>
    <w:p>
      <w:pPr>
        <w:jc w:val="center"/>
      </w:pPr>
      <w:r>
        <w:drawing>
          <wp:inline xmlns:a="http://schemas.openxmlformats.org/drawingml/2006/main" xmlns:pic="http://schemas.openxmlformats.org/drawingml/2006/picture">
            <wp:extent cx="5852160" cy="4303059"/>
            <wp:docPr id="1" name="Picture 1"/>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5852160" cy="4303059"/>
                    </a:xfrm>
                    <a:prstGeom prst="rect"/>
                  </pic:spPr>
                </pic:pic>
              </a:graphicData>
            </a:graphic>
          </wp:inline>
        </w:drawing>
      </w:r>
    </w:p>
    <w:tbl>
      <w:tblPr>
        <w:tblStyle w:val="LightGrid-Accent1"/>
        <w:tblW w:type="auto" w:w="0"/>
        <w:tblLook w:firstColumn="1" w:firstRow="1" w:lastColumn="0" w:lastRow="0" w:noHBand="0" w:noVBand="1" w:val="04A0"/>
      </w:tblPr>
      <w:tblGrid>
        <w:gridCol w:w="1930"/>
        <w:gridCol w:w="1930"/>
        <w:gridCol w:w="1930"/>
        <w:gridCol w:w="1930"/>
        <w:gridCol w:w="1930"/>
      </w:tblGrid>
      <w:tr>
        <w:tc>
          <w:tcPr>
            <w:tcW w:type="dxa" w:w="1930"/>
          </w:tcPr>
          <w:p>
            <w:pPr>
              <w:spacing w:after="0"/>
            </w:pPr>
            <w:r>
              <w:rPr>
                <w:sz w:val="17"/>
              </w:rPr>
              <w:t>District</w:t>
            </w:r>
          </w:p>
        </w:tc>
        <w:tc>
          <w:tcPr>
            <w:tcW w:type="dxa" w:w="1930"/>
          </w:tcPr>
          <w:p>
            <w:pPr>
              <w:spacing w:after="0"/>
            </w:pPr>
            <w:r>
              <w:rPr>
                <w:sz w:val="17"/>
              </w:rPr>
              <w:t>Rate</w:t>
            </w:r>
          </w:p>
        </w:tc>
        <w:tc>
          <w:tcPr>
            <w:tcW w:type="dxa" w:w="1930"/>
          </w:tcPr>
          <w:p>
            <w:pPr>
              <w:spacing w:after="0"/>
              <w:jc w:val="right"/>
            </w:pPr>
            <w:r>
              <w:rPr>
                <w:sz w:val="17"/>
              </w:rPr>
              <w:t>Published (%)</w:t>
            </w:r>
          </w:p>
        </w:tc>
        <w:tc>
          <w:tcPr>
            <w:tcW w:type="dxa" w:w="1930"/>
          </w:tcPr>
          <w:p>
            <w:pPr>
              <w:spacing w:after="0"/>
              <w:jc w:val="right"/>
            </w:pPr>
            <w:r>
              <w:rPr>
                <w:sz w:val="17"/>
              </w:rPr>
              <w:t>Error taken out (%)</w:t>
            </w:r>
          </w:p>
        </w:tc>
        <w:tc>
          <w:tcPr>
            <w:tcW w:type="dxa" w:w="1930"/>
          </w:tcPr>
          <w:p>
            <w:pPr>
              <w:spacing w:after="0"/>
              <w:jc w:val="right"/>
            </w:pPr>
            <w:r>
              <w:rPr>
                <w:sz w:val="17"/>
              </w:rPr>
              <w:t>Counted moves not real (%)</w:t>
            </w:r>
          </w:p>
        </w:tc>
      </w:tr>
      <w:tr>
        <w:tc>
          <w:tcPr>
            <w:tcW w:type="dxa" w:w="1930"/>
          </w:tcPr>
          <w:p>
            <w:pPr>
              <w:spacing w:after="0"/>
            </w:pPr>
            <w:r>
              <w:rPr>
                <w:sz w:val="17"/>
              </w:rPr>
              <w:t>Lagoon Coast</w:t>
            </w:r>
          </w:p>
        </w:tc>
        <w:tc>
          <w:tcPr>
            <w:tcW w:type="dxa" w:w="1930"/>
          </w:tcPr>
          <w:p>
            <w:pPr>
              <w:spacing w:after="0"/>
            </w:pPr>
            <w:r>
              <w:rPr>
                <w:sz w:val="17"/>
              </w:rPr>
              <w:t>Job-loss</w:t>
            </w:r>
          </w:p>
        </w:tc>
        <w:tc>
          <w:tcPr>
            <w:tcW w:type="dxa" w:w="1930"/>
          </w:tcPr>
          <w:p>
            <w:pPr>
              <w:spacing w:after="0"/>
              <w:jc w:val="right"/>
            </w:pPr>
            <w:r>
              <w:rPr>
                <w:sz w:val="17"/>
              </w:rPr>
              <w:t>1.5</w:t>
            </w:r>
          </w:p>
        </w:tc>
        <w:tc>
          <w:tcPr>
            <w:tcW w:type="dxa" w:w="1930"/>
          </w:tcPr>
          <w:p>
            <w:pPr>
              <w:spacing w:after="0"/>
              <w:jc w:val="right"/>
            </w:pPr>
            <w:r>
              <w:rPr>
                <w:sz w:val="17"/>
              </w:rPr>
              <w:t>1.0</w:t>
            </w:r>
          </w:p>
        </w:tc>
        <w:tc>
          <w:tcPr>
            <w:tcW w:type="dxa" w:w="1930"/>
          </w:tcPr>
          <w:p>
            <w:pPr>
              <w:spacing w:after="0"/>
              <w:jc w:val="right"/>
            </w:pPr>
            <w:r>
              <w:rPr>
                <w:sz w:val="17"/>
              </w:rPr>
              <w:t>45.1</w:t>
            </w:r>
          </w:p>
        </w:tc>
      </w:tr>
      <w:tr>
        <w:tc>
          <w:tcPr>
            <w:tcW w:type="dxa" w:w="1930"/>
          </w:tcPr>
          <w:p>
            <w:pPr>
              <w:spacing w:after="0"/>
            </w:pPr>
            <w:r>
              <w:rPr>
                <w:sz w:val="17"/>
              </w:rPr>
              <w:t>Industrial Corridor</w:t>
            </w:r>
          </w:p>
        </w:tc>
        <w:tc>
          <w:tcPr>
            <w:tcW w:type="dxa" w:w="1930"/>
          </w:tcPr>
          <w:p>
            <w:pPr>
              <w:spacing w:after="0"/>
            </w:pPr>
            <w:r>
              <w:rPr>
                <w:sz w:val="17"/>
              </w:rPr>
              <w:t>Job-finding</w:t>
            </w:r>
          </w:p>
        </w:tc>
        <w:tc>
          <w:tcPr>
            <w:tcW w:type="dxa" w:w="1930"/>
          </w:tcPr>
          <w:p>
            <w:pPr>
              <w:spacing w:after="0"/>
              <w:jc w:val="right"/>
            </w:pPr>
            <w:r>
              <w:rPr>
                <w:sz w:val="17"/>
              </w:rPr>
              <w:t>11.9</w:t>
            </w:r>
          </w:p>
        </w:tc>
        <w:tc>
          <w:tcPr>
            <w:tcW w:type="dxa" w:w="1930"/>
          </w:tcPr>
          <w:p>
            <w:pPr>
              <w:spacing w:after="0"/>
              <w:jc w:val="right"/>
            </w:pPr>
            <w:r>
              <w:rPr>
                <w:sz w:val="17"/>
              </w:rPr>
              <w:t>5.9</w:t>
            </w:r>
          </w:p>
        </w:tc>
        <w:tc>
          <w:tcPr>
            <w:tcW w:type="dxa" w:w="1930"/>
          </w:tcPr>
          <w:p>
            <w:pPr>
              <w:spacing w:after="0"/>
              <w:jc w:val="right"/>
            </w:pPr>
            <w:r>
              <w:rPr>
                <w:sz w:val="17"/>
              </w:rPr>
              <w:t>58.6</w:t>
            </w:r>
          </w:p>
        </w:tc>
      </w:tr>
      <w:tr>
        <w:tc>
          <w:tcPr>
            <w:tcW w:type="dxa" w:w="1930"/>
          </w:tcPr>
          <w:p>
            <w:pPr>
              <w:spacing w:after="0"/>
            </w:pPr>
            <w:r>
              <w:rPr>
                <w:sz w:val="17"/>
              </w:rPr>
              <w:t>Cocoa Belt East</w:t>
            </w:r>
          </w:p>
        </w:tc>
        <w:tc>
          <w:tcPr>
            <w:tcW w:type="dxa" w:w="1930"/>
          </w:tcPr>
          <w:p>
            <w:pPr>
              <w:spacing w:after="0"/>
            </w:pPr>
            <w:r>
              <w:rPr>
                <w:sz w:val="17"/>
              </w:rPr>
              <w:t>Job-finding</w:t>
            </w:r>
          </w:p>
        </w:tc>
        <w:tc>
          <w:tcPr>
            <w:tcW w:type="dxa" w:w="1930"/>
          </w:tcPr>
          <w:p>
            <w:pPr>
              <w:spacing w:after="0"/>
              <w:jc w:val="right"/>
            </w:pPr>
            <w:r>
              <w:rPr>
                <w:sz w:val="17"/>
              </w:rPr>
              <w:t>17.5</w:t>
            </w:r>
          </w:p>
        </w:tc>
        <w:tc>
          <w:tcPr>
            <w:tcW w:type="dxa" w:w="1930"/>
          </w:tcPr>
          <w:p>
            <w:pPr>
              <w:spacing w:after="0"/>
              <w:jc w:val="right"/>
            </w:pPr>
            <w:r>
              <w:rPr>
                <w:sz w:val="17"/>
              </w:rPr>
              <w:t>9.3</w:t>
            </w:r>
          </w:p>
        </w:tc>
        <w:tc>
          <w:tcPr>
            <w:tcW w:type="dxa" w:w="1930"/>
          </w:tcPr>
          <w:p>
            <w:pPr>
              <w:spacing w:after="0"/>
              <w:jc w:val="right"/>
            </w:pPr>
            <w:r>
              <w:rPr>
                <w:sz w:val="17"/>
              </w:rPr>
              <w:t>60.8</w:t>
            </w:r>
          </w:p>
        </w:tc>
      </w:tr>
      <w:tr>
        <w:tc>
          <w:tcPr>
            <w:tcW w:type="dxa" w:w="1930"/>
          </w:tcPr>
          <w:p>
            <w:pPr>
              <w:spacing w:after="0"/>
            </w:pPr>
            <w:r>
              <w:rPr>
                <w:sz w:val="17"/>
              </w:rPr>
              <w:t>Cocoa Belt East</w:t>
            </w:r>
          </w:p>
        </w:tc>
        <w:tc>
          <w:tcPr>
            <w:tcW w:type="dxa" w:w="1930"/>
          </w:tcPr>
          <w:p>
            <w:pPr>
              <w:spacing w:after="0"/>
            </w:pPr>
            <w:r>
              <w:rPr>
                <w:sz w:val="17"/>
              </w:rPr>
              <w:t>Job-loss</w:t>
            </w:r>
          </w:p>
        </w:tc>
        <w:tc>
          <w:tcPr>
            <w:tcW w:type="dxa" w:w="1930"/>
          </w:tcPr>
          <w:p>
            <w:pPr>
              <w:spacing w:after="0"/>
              <w:jc w:val="right"/>
            </w:pPr>
            <w:r>
              <w:rPr>
                <w:sz w:val="17"/>
              </w:rPr>
              <w:t>1.0</w:t>
            </w:r>
          </w:p>
        </w:tc>
        <w:tc>
          <w:tcPr>
            <w:tcW w:type="dxa" w:w="1930"/>
          </w:tcPr>
          <w:p>
            <w:pPr>
              <w:spacing w:after="0"/>
              <w:jc w:val="right"/>
            </w:pPr>
            <w:r>
              <w:rPr>
                <w:sz w:val="17"/>
              </w:rPr>
              <w:t>0.4</w:t>
            </w:r>
          </w:p>
        </w:tc>
        <w:tc>
          <w:tcPr>
            <w:tcW w:type="dxa" w:w="1930"/>
          </w:tcPr>
          <w:p>
            <w:pPr>
              <w:spacing w:after="0"/>
              <w:jc w:val="right"/>
            </w:pPr>
            <w:r>
              <w:rPr>
                <w:sz w:val="17"/>
              </w:rPr>
              <w:t>69.0</w:t>
            </w:r>
          </w:p>
        </w:tc>
      </w:tr>
      <w:tr>
        <w:tc>
          <w:tcPr>
            <w:tcW w:type="dxa" w:w="1930"/>
          </w:tcPr>
          <w:p>
            <w:pPr>
              <w:spacing w:after="0"/>
            </w:pPr>
            <w:r>
              <w:rPr>
                <w:sz w:val="17"/>
              </w:rPr>
              <w:t>Cocoa Belt West</w:t>
            </w:r>
          </w:p>
        </w:tc>
        <w:tc>
          <w:tcPr>
            <w:tcW w:type="dxa" w:w="1930"/>
          </w:tcPr>
          <w:p>
            <w:pPr>
              <w:spacing w:after="0"/>
            </w:pPr>
            <w:r>
              <w:rPr>
                <w:sz w:val="17"/>
              </w:rPr>
              <w:t>Job-finding</w:t>
            </w:r>
          </w:p>
        </w:tc>
        <w:tc>
          <w:tcPr>
            <w:tcW w:type="dxa" w:w="1930"/>
          </w:tcPr>
          <w:p>
            <w:pPr>
              <w:spacing w:after="0"/>
              <w:jc w:val="right"/>
            </w:pPr>
            <w:r>
              <w:rPr>
                <w:sz w:val="17"/>
              </w:rPr>
              <w:t>20.7</w:t>
            </w:r>
          </w:p>
        </w:tc>
        <w:tc>
          <w:tcPr>
            <w:tcW w:type="dxa" w:w="1930"/>
          </w:tcPr>
          <w:p>
            <w:pPr>
              <w:spacing w:after="0"/>
              <w:jc w:val="right"/>
            </w:pPr>
            <w:r>
              <w:rPr>
                <w:sz w:val="17"/>
              </w:rPr>
              <w:t>14.1</w:t>
            </w:r>
          </w:p>
        </w:tc>
        <w:tc>
          <w:tcPr>
            <w:tcW w:type="dxa" w:w="1930"/>
          </w:tcPr>
          <w:p>
            <w:pPr>
              <w:spacing w:after="0"/>
              <w:jc w:val="right"/>
            </w:pPr>
            <w:r>
              <w:rPr>
                <w:sz w:val="17"/>
              </w:rPr>
              <w:t>50.7</w:t>
            </w:r>
          </w:p>
        </w:tc>
      </w:tr>
      <w:tr>
        <w:tc>
          <w:tcPr>
            <w:tcW w:type="dxa" w:w="1930"/>
          </w:tcPr>
          <w:p>
            <w:pPr>
              <w:spacing w:after="0"/>
            </w:pPr>
            <w:r>
              <w:rPr>
                <w:sz w:val="17"/>
              </w:rPr>
              <w:t>Cocoa Belt West</w:t>
            </w:r>
          </w:p>
        </w:tc>
        <w:tc>
          <w:tcPr>
            <w:tcW w:type="dxa" w:w="1930"/>
          </w:tcPr>
          <w:p>
            <w:pPr>
              <w:spacing w:after="0"/>
            </w:pPr>
            <w:r>
              <w:rPr>
                <w:sz w:val="17"/>
              </w:rPr>
              <w:t>Job-loss</w:t>
            </w:r>
          </w:p>
        </w:tc>
        <w:tc>
          <w:tcPr>
            <w:tcW w:type="dxa" w:w="1930"/>
          </w:tcPr>
          <w:p>
            <w:pPr>
              <w:spacing w:after="0"/>
              <w:jc w:val="right"/>
            </w:pPr>
            <w:r>
              <w:rPr>
                <w:sz w:val="17"/>
              </w:rPr>
              <w:t>1.1</w:t>
            </w:r>
          </w:p>
        </w:tc>
        <w:tc>
          <w:tcPr>
            <w:tcW w:type="dxa" w:w="1930"/>
          </w:tcPr>
          <w:p>
            <w:pPr>
              <w:spacing w:after="0"/>
              <w:jc w:val="right"/>
            </w:pPr>
            <w:r>
              <w:rPr>
                <w:sz w:val="17"/>
              </w:rPr>
              <w:t>0.5</w:t>
            </w:r>
          </w:p>
        </w:tc>
        <w:tc>
          <w:tcPr>
            <w:tcW w:type="dxa" w:w="1930"/>
          </w:tcPr>
          <w:p>
            <w:pPr>
              <w:spacing w:after="0"/>
              <w:jc w:val="right"/>
            </w:pPr>
            <w:r>
              <w:rPr>
                <w:sz w:val="17"/>
              </w:rPr>
              <w:t>62.1</w:t>
            </w:r>
          </w:p>
        </w:tc>
      </w:tr>
      <w:tr>
        <w:tc>
          <w:tcPr>
            <w:tcW w:type="dxa" w:w="1930"/>
          </w:tcPr>
          <w:p>
            <w:pPr>
              <w:spacing w:after="0"/>
            </w:pPr>
            <w:r>
              <w:rPr>
                <w:sz w:val="17"/>
              </w:rPr>
              <w:t>Northern Savanna</w:t>
            </w:r>
          </w:p>
        </w:tc>
        <w:tc>
          <w:tcPr>
            <w:tcW w:type="dxa" w:w="1930"/>
          </w:tcPr>
          <w:p>
            <w:pPr>
              <w:spacing w:after="0"/>
            </w:pPr>
            <w:r>
              <w:rPr>
                <w:sz w:val="17"/>
              </w:rPr>
              <w:t>Job-finding</w:t>
            </w:r>
          </w:p>
        </w:tc>
        <w:tc>
          <w:tcPr>
            <w:tcW w:type="dxa" w:w="1930"/>
          </w:tcPr>
          <w:p>
            <w:pPr>
              <w:spacing w:after="0"/>
              <w:jc w:val="right"/>
            </w:pPr>
            <w:r>
              <w:rPr>
                <w:sz w:val="17"/>
              </w:rPr>
              <w:t>17.7</w:t>
            </w:r>
          </w:p>
        </w:tc>
        <w:tc>
          <w:tcPr>
            <w:tcW w:type="dxa" w:w="1930"/>
          </w:tcPr>
          <w:p>
            <w:pPr>
              <w:spacing w:after="0"/>
              <w:jc w:val="right"/>
            </w:pPr>
            <w:r>
              <w:rPr>
                <w:sz w:val="17"/>
              </w:rPr>
              <w:t>9.4</w:t>
            </w:r>
          </w:p>
        </w:tc>
        <w:tc>
          <w:tcPr>
            <w:tcW w:type="dxa" w:w="1930"/>
          </w:tcPr>
          <w:p>
            <w:pPr>
              <w:spacing w:after="0"/>
              <w:jc w:val="right"/>
            </w:pPr>
            <w:r>
              <w:rPr>
                <w:sz w:val="17"/>
              </w:rPr>
              <w:t>61.1</w:t>
            </w:r>
          </w:p>
        </w:tc>
      </w:tr>
      <w:tr>
        <w:tc>
          <w:tcPr>
            <w:tcW w:type="dxa" w:w="1930"/>
          </w:tcPr>
          <w:p>
            <w:pPr>
              <w:spacing w:after="0"/>
            </w:pPr>
            <w:r>
              <w:rPr>
                <w:sz w:val="17"/>
              </w:rPr>
              <w:t>Northern Savanna</w:t>
            </w:r>
          </w:p>
        </w:tc>
        <w:tc>
          <w:tcPr>
            <w:tcW w:type="dxa" w:w="1930"/>
          </w:tcPr>
          <w:p>
            <w:pPr>
              <w:spacing w:after="0"/>
            </w:pPr>
            <w:r>
              <w:rPr>
                <w:sz w:val="17"/>
              </w:rPr>
              <w:t>Job-loss</w:t>
            </w:r>
          </w:p>
        </w:tc>
        <w:tc>
          <w:tcPr>
            <w:tcW w:type="dxa" w:w="1930"/>
          </w:tcPr>
          <w:p>
            <w:pPr>
              <w:spacing w:after="0"/>
              <w:jc w:val="right"/>
            </w:pPr>
            <w:r>
              <w:rPr>
                <w:sz w:val="17"/>
              </w:rPr>
              <w:t>1.1</w:t>
            </w:r>
          </w:p>
        </w:tc>
        <w:tc>
          <w:tcPr>
            <w:tcW w:type="dxa" w:w="1930"/>
          </w:tcPr>
          <w:p>
            <w:pPr>
              <w:spacing w:after="0"/>
              <w:jc w:val="right"/>
            </w:pPr>
            <w:r>
              <w:rPr>
                <w:sz w:val="17"/>
              </w:rPr>
              <w:t>0.5</w:t>
            </w:r>
          </w:p>
        </w:tc>
        <w:tc>
          <w:tcPr>
            <w:tcW w:type="dxa" w:w="1930"/>
          </w:tcPr>
          <w:p>
            <w:pPr>
              <w:spacing w:after="0"/>
              <w:jc w:val="right"/>
            </w:pPr>
            <w:r>
              <w:rPr>
                <w:sz w:val="17"/>
              </w:rPr>
              <w:t>60.7</w:t>
            </w:r>
          </w:p>
        </w:tc>
      </w:tr>
      <w:tr>
        <w:tc>
          <w:tcPr>
            <w:tcW w:type="dxa" w:w="1930"/>
          </w:tcPr>
          <w:p>
            <w:pPr>
              <w:spacing w:after="0"/>
            </w:pPr>
            <w:r>
              <w:rPr>
                <w:sz w:val="17"/>
              </w:rPr>
              <w:t>Central Hills</w:t>
            </w:r>
          </w:p>
        </w:tc>
        <w:tc>
          <w:tcPr>
            <w:tcW w:type="dxa" w:w="1930"/>
          </w:tcPr>
          <w:p>
            <w:pPr>
              <w:spacing w:after="0"/>
            </w:pPr>
            <w:r>
              <w:rPr>
                <w:sz w:val="17"/>
              </w:rPr>
              <w:t>Job-finding</w:t>
            </w:r>
          </w:p>
        </w:tc>
        <w:tc>
          <w:tcPr>
            <w:tcW w:type="dxa" w:w="1930"/>
          </w:tcPr>
          <w:p>
            <w:pPr>
              <w:spacing w:after="0"/>
              <w:jc w:val="right"/>
            </w:pPr>
            <w:r>
              <w:rPr>
                <w:sz w:val="17"/>
              </w:rPr>
              <w:t>15.1</w:t>
            </w:r>
          </w:p>
        </w:tc>
        <w:tc>
          <w:tcPr>
            <w:tcW w:type="dxa" w:w="1930"/>
          </w:tcPr>
          <w:p>
            <w:pPr>
              <w:spacing w:after="0"/>
              <w:jc w:val="right"/>
            </w:pPr>
            <w:r>
              <w:rPr>
                <w:sz w:val="17"/>
              </w:rPr>
              <w:t>6.3</w:t>
            </w:r>
          </w:p>
        </w:tc>
        <w:tc>
          <w:tcPr>
            <w:tcW w:type="dxa" w:w="1930"/>
          </w:tcPr>
          <w:p>
            <w:pPr>
              <w:spacing w:after="0"/>
              <w:jc w:val="right"/>
            </w:pPr>
            <w:r>
              <w:rPr>
                <w:sz w:val="17"/>
              </w:rPr>
              <w:t>68.4</w:t>
            </w:r>
          </w:p>
        </w:tc>
      </w:tr>
      <w:tr>
        <w:tc>
          <w:tcPr>
            <w:tcW w:type="dxa" w:w="1930"/>
          </w:tcPr>
          <w:p>
            <w:pPr>
              <w:spacing w:after="0"/>
            </w:pPr>
            <w:r>
              <w:rPr>
                <w:sz w:val="17"/>
              </w:rPr>
              <w:t>Central Hills</w:t>
            </w:r>
          </w:p>
        </w:tc>
        <w:tc>
          <w:tcPr>
            <w:tcW w:type="dxa" w:w="1930"/>
          </w:tcPr>
          <w:p>
            <w:pPr>
              <w:spacing w:after="0"/>
            </w:pPr>
            <w:r>
              <w:rPr>
                <w:sz w:val="17"/>
              </w:rPr>
              <w:t>Job-loss</w:t>
            </w:r>
          </w:p>
        </w:tc>
        <w:tc>
          <w:tcPr>
            <w:tcW w:type="dxa" w:w="1930"/>
          </w:tcPr>
          <w:p>
            <w:pPr>
              <w:spacing w:after="0"/>
              <w:jc w:val="right"/>
            </w:pPr>
            <w:r>
              <w:rPr>
                <w:sz w:val="17"/>
              </w:rPr>
              <w:t>1.1</w:t>
            </w:r>
          </w:p>
        </w:tc>
        <w:tc>
          <w:tcPr>
            <w:tcW w:type="dxa" w:w="1930"/>
          </w:tcPr>
          <w:p>
            <w:pPr>
              <w:spacing w:after="0"/>
              <w:jc w:val="right"/>
            </w:pPr>
            <w:r>
              <w:rPr>
                <w:sz w:val="17"/>
              </w:rPr>
              <w:t>0.4</w:t>
            </w:r>
          </w:p>
        </w:tc>
        <w:tc>
          <w:tcPr>
            <w:tcW w:type="dxa" w:w="1930"/>
          </w:tcPr>
          <w:p>
            <w:pPr>
              <w:spacing w:after="0"/>
              <w:jc w:val="right"/>
            </w:pPr>
            <w:r>
              <w:rPr>
                <w:sz w:val="17"/>
              </w:rPr>
              <w:t>67.1</w:t>
            </w:r>
          </w:p>
        </w:tc>
      </w:tr>
      <w:tr>
        <w:tc>
          <w:tcPr>
            <w:tcW w:type="dxa" w:w="1930"/>
          </w:tcPr>
          <w:p>
            <w:pPr>
              <w:spacing w:after="0"/>
            </w:pPr>
            <w:r>
              <w:rPr>
                <w:sz w:val="17"/>
              </w:rPr>
              <w:t>River Basin</w:t>
            </w:r>
          </w:p>
        </w:tc>
        <w:tc>
          <w:tcPr>
            <w:tcW w:type="dxa" w:w="1930"/>
          </w:tcPr>
          <w:p>
            <w:pPr>
              <w:spacing w:after="0"/>
            </w:pPr>
            <w:r>
              <w:rPr>
                <w:sz w:val="17"/>
              </w:rPr>
              <w:t>Job-loss</w:t>
            </w:r>
          </w:p>
        </w:tc>
        <w:tc>
          <w:tcPr>
            <w:tcW w:type="dxa" w:w="1930"/>
          </w:tcPr>
          <w:p>
            <w:pPr>
              <w:spacing w:after="0"/>
              <w:jc w:val="right"/>
            </w:pPr>
            <w:r>
              <w:rPr>
                <w:sz w:val="17"/>
              </w:rPr>
              <w:t>1.5</w:t>
            </w:r>
          </w:p>
        </w:tc>
        <w:tc>
          <w:tcPr>
            <w:tcW w:type="dxa" w:w="1930"/>
          </w:tcPr>
          <w:p>
            <w:pPr>
              <w:spacing w:after="0"/>
              <w:jc w:val="right"/>
            </w:pPr>
            <w:r>
              <w:rPr>
                <w:sz w:val="17"/>
              </w:rPr>
              <w:t>0.9</w:t>
            </w:r>
          </w:p>
        </w:tc>
        <w:tc>
          <w:tcPr>
            <w:tcW w:type="dxa" w:w="1930"/>
          </w:tcPr>
          <w:p>
            <w:pPr>
              <w:spacing w:after="0"/>
              <w:jc w:val="right"/>
            </w:pPr>
            <w:r>
              <w:rPr>
                <w:sz w:val="17"/>
              </w:rPr>
              <w:t>48.9</w:t>
            </w:r>
          </w:p>
        </w:tc>
      </w:tr>
      <w:tr>
        <w:tc>
          <w:tcPr>
            <w:tcW w:type="dxa" w:w="1930"/>
          </w:tcPr>
          <w:p>
            <w:pPr>
              <w:spacing w:after="0"/>
            </w:pPr>
            <w:r>
              <w:rPr>
                <w:sz w:val="17"/>
              </w:rPr>
              <w:t>Creeks</w:t>
            </w:r>
          </w:p>
        </w:tc>
        <w:tc>
          <w:tcPr>
            <w:tcW w:type="dxa" w:w="1930"/>
          </w:tcPr>
          <w:p>
            <w:pPr>
              <w:spacing w:after="0"/>
            </w:pPr>
            <w:r>
              <w:rPr>
                <w:sz w:val="17"/>
              </w:rPr>
              <w:t>Job-finding</w:t>
            </w:r>
          </w:p>
        </w:tc>
        <w:tc>
          <w:tcPr>
            <w:tcW w:type="dxa" w:w="1930"/>
          </w:tcPr>
          <w:p>
            <w:pPr>
              <w:spacing w:after="0"/>
              <w:jc w:val="right"/>
            </w:pPr>
            <w:r>
              <w:rPr>
                <w:sz w:val="17"/>
              </w:rPr>
              <w:t>13.8</w:t>
            </w:r>
          </w:p>
        </w:tc>
        <w:tc>
          <w:tcPr>
            <w:tcW w:type="dxa" w:w="1930"/>
          </w:tcPr>
          <w:p>
            <w:pPr>
              <w:spacing w:after="0"/>
              <w:jc w:val="right"/>
            </w:pPr>
            <w:r>
              <w:rPr>
                <w:sz w:val="17"/>
              </w:rPr>
              <w:t>8.7</w:t>
            </w:r>
          </w:p>
        </w:tc>
        <w:tc>
          <w:tcPr>
            <w:tcW w:type="dxa" w:w="1930"/>
          </w:tcPr>
          <w:p>
            <w:pPr>
              <w:spacing w:after="0"/>
              <w:jc w:val="right"/>
            </w:pPr>
            <w:r>
              <w:rPr>
                <w:sz w:val="17"/>
              </w:rPr>
              <w:t>46.7</w:t>
            </w:r>
          </w:p>
        </w:tc>
      </w:tr>
      <w:tr>
        <w:tc>
          <w:tcPr>
            <w:tcW w:type="dxa" w:w="1930"/>
          </w:tcPr>
          <w:p>
            <w:pPr>
              <w:spacing w:after="0"/>
            </w:pPr>
            <w:r>
              <w:rPr>
                <w:sz w:val="17"/>
              </w:rPr>
              <w:t>University Towns</w:t>
            </w:r>
          </w:p>
        </w:tc>
        <w:tc>
          <w:tcPr>
            <w:tcW w:type="dxa" w:w="1930"/>
          </w:tcPr>
          <w:p>
            <w:pPr>
              <w:spacing w:after="0"/>
            </w:pPr>
            <w:r>
              <w:rPr>
                <w:sz w:val="17"/>
              </w:rPr>
              <w:t>Job-loss</w:t>
            </w:r>
          </w:p>
        </w:tc>
        <w:tc>
          <w:tcPr>
            <w:tcW w:type="dxa" w:w="1930"/>
          </w:tcPr>
          <w:p>
            <w:pPr>
              <w:spacing w:after="0"/>
              <w:jc w:val="right"/>
            </w:pPr>
            <w:r>
              <w:rPr>
                <w:sz w:val="17"/>
              </w:rPr>
              <w:t>1.5</w:t>
            </w:r>
          </w:p>
        </w:tc>
        <w:tc>
          <w:tcPr>
            <w:tcW w:type="dxa" w:w="1930"/>
          </w:tcPr>
          <w:p>
            <w:pPr>
              <w:spacing w:after="0"/>
              <w:jc w:val="right"/>
            </w:pPr>
            <w:r>
              <w:rPr>
                <w:sz w:val="17"/>
              </w:rPr>
              <w:t>0.9</w:t>
            </w:r>
          </w:p>
        </w:tc>
        <w:tc>
          <w:tcPr>
            <w:tcW w:type="dxa" w:w="1930"/>
          </w:tcPr>
          <w:p>
            <w:pPr>
              <w:spacing w:after="0"/>
              <w:jc w:val="right"/>
            </w:pPr>
            <w:r>
              <w:rPr>
                <w:sz w:val="17"/>
              </w:rPr>
              <w:t>47.2</w:t>
            </w:r>
          </w:p>
        </w:tc>
      </w:tr>
    </w:tbl>
    <w:p>
      <w:pPr>
        <w:spacing w:after="200"/>
      </w:pPr>
      <w:r>
        <w:rPr>
          <w:b w:val="0"/>
          <w:i/>
          <w:color w:val="555555"/>
          <w:sz w:val="16"/>
        </w:rPr>
        <w:t>The 13 rates that carry the warning. Published: Table F2. Error taken out: the same rate on the true flows.</w:t>
      </w:r>
    </w:p>
    <w:p>
      <w:pPr>
        <w:spacing w:after="160"/>
      </w:pPr>
      <w:r>
        <w:rPr>
          <w:b w:val="0"/>
          <w:i w:val="0"/>
        </w:rPr>
        <w:t>How the check was made. A person the tables count as moving between two statuses may have held the same status in both quarters and been recorded wrongly in one of them. The supervisors' reinterview measures how often that happens: of the 15,221 persons reinterviewed within the window over the five quarters whose interviews enter the tables, an employed person was recorded unemployed 0.44 per cent of the time, an unemployed person employed 5.87 per cent and outside the labour force 10.17 per cent, and a person outside the labour force unemployed 1.40 per cent. With that error taken out at both quarters of each pair, each district's published flows give its true flows, and a rate's share of counted moves that are not real moves is one less the true moves recorded correctly in both quarters, over the moves the table counts.</w:t>
      </w:r>
    </w:p>
    <w:p>
      <w:pPr>
        <w:spacing w:after="160"/>
      </w:pPr>
      <w:r>
        <w:rPr>
          <w:b w:val="0"/>
          <w:i w:val="0"/>
        </w:rPr>
        <w:t>Why these rates. Most adults stay employed, or outside the labour force, from one quarter to the next, so rare misreadings of those large groups add up to a large part of the few real moves into or out of unemployment. The job-loss rates warned are those of the districts where few employed people lose work (true job-loss rates of 0.4 to 1.0 per cent a quarter, against 3.9 to 5.0 per cent in the other five), and the job-finding rates warned those where few of the unemployed find work (5.9 to 14.1 per cent, against 38.4 to 44.7 per cent). Multiplying the chances that each of a counted mover's two recorded statuses is right would put every rate at 18.1 per cent and warn none: a counted move is far likelier than a single record to be a misreading, because most people's status did not change.</w:t>
      </w:r>
    </w:p>
    <w:p>
      <w:pPr>
        <w:spacing w:after="160"/>
      </w:pPr>
      <w:r>
        <w:rPr>
          <w:b w:val="0"/>
          <w:i w:val="0"/>
        </w:rPr>
        <w:t>Match rate and reinterview timing. Over the year's four quarter pairs, 90.3 to 92.0 per cent of the persons interviewed in a dwelling due another visit were interviewed again at its next visit, by district. The supervisors completed the 2027 reinterviews a mean of 6.1 to 7.3 days after each person's own interview. The workbook (elfs_2027_flows_quality.xlsx) has every figure.</w:t>
      </w:r>
    </w:p>
    <w:p>
      <w:pPr>
        <w:spacing w:after="120"/>
      </w:pPr>
      <w:r>
        <w:rPr>
          <w:b w:val="0"/>
          <w:i w:val="0"/>
          <w:color w:val="444444"/>
          <w:sz w:val="17"/>
        </w:rPr>
        <w:t>Note. The six enumeration areas that moved from the Industrial Corridor to the Metropolitan Fringe on 1 April 2027 are counted in the Fringe in every quarter, their 2026Q4 and 2027Q1 interviews included, as the tables count them.</w:t>
      </w:r>
    </w:p>
    <w:p>
      <w:pPr>
        <w:spacing w:after="0"/>
      </w:pPr>
      <w:r>
        <w:rPr>
          <w:b w:val="0"/>
          <w:i/>
          <w:sz w:val="17"/>
        </w:rPr>
        <w:t>Sources: ELFS 2027 annual flows tables as tabulated (28 January 2028); reinterview results and fieldwork log, 2026Q4 to 2027Q4; quarterly person files, 2026Q4 to 2027Q4; district gazetteer; methodology note, 2027 edition; reinterview protocol, version 3.</w:t>
      </w:r>
    </w:p>
    <w:sectPr w:rsidR="00FC693F" w:rsidRPr="0006063C" w:rsidSect="00034616">
      <w:headerReference w:type="default" r:id="rId9"/>
      <w:footerReference w:type="default" r:id="rId10"/>
      <w:pgSz w:w="12240" w:h="15840"/>
      <w:pgMar w:top="1440" w:right="1296" w:bottom="144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sz w:val="16"/>
      </w:rPr>
      <w:t xml:space="preserve">For the management meeting of 16 February 2028    Page </w:t>
    </w:r>
    <w:r>
      <w:rPr>
        <w:sz w:val="16"/>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6"/>
      </w:rPr>
      <w:t>Esinmi State Bureau of Statistics, Labour and Social Statistics Division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41</TotalTime>
  <Pages>2</Pages>
  <Words>670</Words>
  <Characters>3314</Characters>
  <Application>Microsoft Office Word</Application>
  <DocSecurity>0</DocSecurity>
  <Lines>80</Lines>
  <Paragraphs>80</Paragraphs>
  <ScaleCrop>false</ScaleCrop>
  <HeadingPairs>
    <vt:vector size="2" baseType="variant">
      <vt:variant>
        <vt:lpstr>Title</vt:lpstr>
      </vt:variant>
      <vt:variant>
        <vt:i4>1</vt:i4>
      </vt:variant>
    </vt:vector>
  </HeadingPairs>
  <TitlesOfParts>
    <vt:vector size="1" baseType="lpstr">
      <vt:lpstr/>
    </vt:vector>
  </TitlesOfParts>
  <Manager/>
  <Company>Esinmi State Bureau of Statistics, Labour and Social Statistics Division</Company>
  <LinksUpToDate>false</LinksUpToDate>
  <CharactersWithSpaces>3989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Quality note: 2027 annual labour market flows</dc:title>
  <dc:creator>Comfort Olawale</dc:creator>
  <cp:lastModifiedBy>Comfort Olawale</cp:lastModifiedBy>
  <cp:revision>1</cp:revision>
  <dcterms:created xsi:type="dcterms:W3CDTF">2028-02-08T09:15:00Z</dcterms:created>
  <dcterms:modified xsi:type="dcterms:W3CDTF">2028-02-10T15:30:00Z</dcterms:modified>
</cp:coreProperties>
</file>