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Kettle Ridge University</w:t>
      </w:r>
    </w:p>
    <w:p>
      <w:r>
        <w:t>Facilities and Operations, Campus Utilities</w:t>
        <w:br/>
        <w:t>1200 Fraser Street, Kettle Ridge, PA 16899</w:t>
      </w:r>
    </w:p>
    <w:p>
      <w:r>
        <w:t>October 16, 2026</w:t>
      </w:r>
    </w:p>
    <w:p>
      <w:r>
        <w:t>Samuel Reyes, P.E.</w:t>
        <w:br/>
        <w:t>Sanitary Engineer</w:t>
        <w:br/>
        <w:t>Pennsylvania Department of Environmental Protection</w:t>
        <w:br/>
        <w:t>Safe Drinking Water Program, Northcentral District Office</w:t>
      </w:r>
    </w:p>
    <w:p>
      <w:r>
        <w:rPr>
          <w:b/>
        </w:rPr>
        <w:t>Re: 2026 Sanitary Survey response, Kettle Ridge University Campus Water System, PWSID 4149327</w:t>
      </w:r>
    </w:p>
    <w:p>
      <w:r>
        <w:t>Dear Mr. Reyes:</w:t>
      </w:r>
    </w:p>
    <w:p>
      <w:r>
        <w:t>Thank you for your letter of September 15. Our responses to the three requests follow; the source capacity evaluation workbook (campus_water_capacity_2027.xlsx) is attached.</w:t>
      </w:r>
    </w:p>
    <w:p>
      <w:pPr>
        <w:pStyle w:val="Heading2"/>
      </w:pPr>
      <w:r>
        <w:t>1. Source capacity</w:t>
      </w:r>
    </w:p>
    <w:p>
      <w:r>
        <w:t>The system's maximum day demand in the evaluation period was 4,469,527 gallons, used on August 20, 2026 (3,103.8 gpm). That day the wells produced 3,716,646 gallons, with Well 1 out of service for rehabilitation, and the four tanks gave up 752,881 gallons during the first-year move-in and the heat. Firm capacity, from the wells' most recent pump tests less Well 1, the largest, is 2,920 gpm, 183.8 gpm short of the maximum day demand.</w:t>
      </w:r>
    </w:p>
    <w:p>
      <w:r>
        <w:rPr>
          <w:b/>
        </w:rPr>
        <w:t>The University will add 184 gpm of firm well capacity before June 1, 2027.</w:t>
      </w:r>
      <w:r>
        <w:t xml:space="preserve"> Capital Planning has scheduled the replacement of the Well 2 pump and motor with a larger unit: design in November 2026, installation in April 2027 and a pump test by May 15, 2027, which we will send to the district office when it is complete. Well 1 remains the largest well.</w:t>
      </w:r>
    </w:p>
    <w:p>
      <w:pPr>
        <w:pStyle w:val="Heading2"/>
      </w:pPr>
      <w:r>
        <w:t>2. Water audit</w:t>
      </w:r>
    </w:p>
    <w:p>
      <w:r>
        <w:t>Water lost is the water used in the system less the water delivered to the campus's buildings as their meters recorded it. For the year the system lost 125,629,212 gallons of the 1,021,278,949 gallons used, a water loss percentage of 12.3%.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Month</w:t>
            </w:r>
          </w:p>
        </w:tc>
        <w:tc>
          <w:tcPr>
            <w:tcW w:type="dxa" w:w="2160"/>
          </w:tcPr>
          <w:p>
            <w:pPr>
              <w:jc w:val="right"/>
            </w:pPr>
            <w:r>
              <w:rPr>
                <w:b/>
                <w:sz w:val="18"/>
              </w:rPr>
              <w:t>Water used (gal)</w:t>
            </w:r>
          </w:p>
        </w:tc>
        <w:tc>
          <w:tcPr>
            <w:tcW w:type="dxa" w:w="2160"/>
          </w:tcPr>
          <w:p>
            <w:pPr>
              <w:jc w:val="right"/>
            </w:pPr>
            <w:r>
              <w:rPr>
                <w:b/>
                <w:sz w:val="18"/>
              </w:rPr>
              <w:t>Delivered to buildings (gal)</w:t>
            </w:r>
          </w:p>
        </w:tc>
        <w:tc>
          <w:tcPr>
            <w:tcW w:type="dxa" w:w="2160"/>
          </w:tcPr>
          <w:p>
            <w:pPr>
              <w:jc w:val="right"/>
            </w:pPr>
            <w:r>
              <w:rPr>
                <w:b/>
                <w:sz w:val="18"/>
              </w:rPr>
              <w:t>Water lost (gal)</w:t>
            </w:r>
          </w:p>
        </w:tc>
      </w:tr>
      <w:tr>
        <w:tc>
          <w:tcPr>
            <w:tcW w:type="dxa" w:w="2160"/>
          </w:tcPr>
          <w:p>
            <w:r>
              <w:rPr>
                <w:b w:val="0"/>
                <w:sz w:val="18"/>
              </w:rPr>
              <w:t>October 2025</w:t>
            </w:r>
          </w:p>
        </w:tc>
        <w:tc>
          <w:tcPr>
            <w:tcW w:type="dxa" w:w="2160"/>
          </w:tcPr>
          <w:p>
            <w:pPr>
              <w:jc w:val="right"/>
            </w:pPr>
            <w:r>
              <w:rPr>
                <w:b w:val="0"/>
                <w:sz w:val="18"/>
              </w:rPr>
              <w:t>97,215,588</w:t>
            </w:r>
          </w:p>
        </w:tc>
        <w:tc>
          <w:tcPr>
            <w:tcW w:type="dxa" w:w="2160"/>
          </w:tcPr>
          <w:p>
            <w:pPr>
              <w:jc w:val="right"/>
            </w:pPr>
            <w:r>
              <w:rPr>
                <w:b w:val="0"/>
                <w:sz w:val="18"/>
              </w:rPr>
              <w:t>87,965,860</w:t>
            </w:r>
          </w:p>
        </w:tc>
        <w:tc>
          <w:tcPr>
            <w:tcW w:type="dxa" w:w="2160"/>
          </w:tcPr>
          <w:p>
            <w:pPr>
              <w:jc w:val="right"/>
            </w:pPr>
            <w:r>
              <w:rPr>
                <w:b w:val="0"/>
                <w:sz w:val="18"/>
              </w:rPr>
              <w:t>9,249,728</w:t>
            </w:r>
          </w:p>
        </w:tc>
      </w:tr>
      <w:tr>
        <w:tc>
          <w:tcPr>
            <w:tcW w:type="dxa" w:w="2160"/>
          </w:tcPr>
          <w:p>
            <w:r>
              <w:rPr>
                <w:b w:val="0"/>
                <w:sz w:val="18"/>
              </w:rPr>
              <w:t>November 2025</w:t>
            </w:r>
          </w:p>
        </w:tc>
        <w:tc>
          <w:tcPr>
            <w:tcW w:type="dxa" w:w="2160"/>
          </w:tcPr>
          <w:p>
            <w:pPr>
              <w:jc w:val="right"/>
            </w:pPr>
            <w:r>
              <w:rPr>
                <w:b w:val="0"/>
                <w:sz w:val="18"/>
              </w:rPr>
              <w:t>81,484,921</w:t>
            </w:r>
          </w:p>
        </w:tc>
        <w:tc>
          <w:tcPr>
            <w:tcW w:type="dxa" w:w="2160"/>
          </w:tcPr>
          <w:p>
            <w:pPr>
              <w:jc w:val="right"/>
            </w:pPr>
            <w:r>
              <w:rPr>
                <w:b w:val="0"/>
                <w:sz w:val="18"/>
              </w:rPr>
              <w:t>72,792,221</w:t>
            </w:r>
          </w:p>
        </w:tc>
        <w:tc>
          <w:tcPr>
            <w:tcW w:type="dxa" w:w="2160"/>
          </w:tcPr>
          <w:p>
            <w:pPr>
              <w:jc w:val="right"/>
            </w:pPr>
            <w:r>
              <w:rPr>
                <w:b w:val="0"/>
                <w:sz w:val="18"/>
              </w:rPr>
              <w:t>8,692,700</w:t>
            </w:r>
          </w:p>
        </w:tc>
      </w:tr>
      <w:tr>
        <w:tc>
          <w:tcPr>
            <w:tcW w:type="dxa" w:w="2160"/>
          </w:tcPr>
          <w:p>
            <w:r>
              <w:rPr>
                <w:b w:val="0"/>
                <w:sz w:val="18"/>
              </w:rPr>
              <w:t>December 2025</w:t>
            </w:r>
          </w:p>
        </w:tc>
        <w:tc>
          <w:tcPr>
            <w:tcW w:type="dxa" w:w="2160"/>
          </w:tcPr>
          <w:p>
            <w:pPr>
              <w:jc w:val="right"/>
            </w:pPr>
            <w:r>
              <w:rPr>
                <w:b w:val="0"/>
                <w:sz w:val="18"/>
              </w:rPr>
              <w:t>78,769,290</w:t>
            </w:r>
          </w:p>
        </w:tc>
        <w:tc>
          <w:tcPr>
            <w:tcW w:type="dxa" w:w="2160"/>
          </w:tcPr>
          <w:p>
            <w:pPr>
              <w:jc w:val="right"/>
            </w:pPr>
            <w:r>
              <w:rPr>
                <w:b w:val="0"/>
                <w:sz w:val="18"/>
              </w:rPr>
              <w:t>69,784,219</w:t>
            </w:r>
          </w:p>
        </w:tc>
        <w:tc>
          <w:tcPr>
            <w:tcW w:type="dxa" w:w="2160"/>
          </w:tcPr>
          <w:p>
            <w:pPr>
              <w:jc w:val="right"/>
            </w:pPr>
            <w:r>
              <w:rPr>
                <w:b w:val="0"/>
                <w:sz w:val="18"/>
              </w:rPr>
              <w:t>8,985,071</w:t>
            </w:r>
          </w:p>
        </w:tc>
      </w:tr>
      <w:tr>
        <w:tc>
          <w:tcPr>
            <w:tcW w:type="dxa" w:w="2160"/>
          </w:tcPr>
          <w:p>
            <w:r>
              <w:rPr>
                <w:b w:val="0"/>
                <w:sz w:val="18"/>
              </w:rPr>
              <w:t>January 2026</w:t>
            </w:r>
          </w:p>
        </w:tc>
        <w:tc>
          <w:tcPr>
            <w:tcW w:type="dxa" w:w="2160"/>
          </w:tcPr>
          <w:p>
            <w:pPr>
              <w:jc w:val="right"/>
            </w:pPr>
            <w:r>
              <w:rPr>
                <w:b w:val="0"/>
                <w:sz w:val="18"/>
              </w:rPr>
              <w:t>82,712,637</w:t>
            </w:r>
          </w:p>
        </w:tc>
        <w:tc>
          <w:tcPr>
            <w:tcW w:type="dxa" w:w="2160"/>
          </w:tcPr>
          <w:p>
            <w:pPr>
              <w:jc w:val="right"/>
            </w:pPr>
            <w:r>
              <w:rPr>
                <w:b w:val="0"/>
                <w:sz w:val="18"/>
              </w:rPr>
              <w:t>73,365,911</w:t>
            </w:r>
          </w:p>
        </w:tc>
        <w:tc>
          <w:tcPr>
            <w:tcW w:type="dxa" w:w="2160"/>
          </w:tcPr>
          <w:p>
            <w:pPr>
              <w:jc w:val="right"/>
            </w:pPr>
            <w:r>
              <w:rPr>
                <w:b w:val="0"/>
                <w:sz w:val="18"/>
              </w:rPr>
              <w:t>9,346,726</w:t>
            </w:r>
          </w:p>
        </w:tc>
      </w:tr>
      <w:tr>
        <w:tc>
          <w:tcPr>
            <w:tcW w:type="dxa" w:w="2160"/>
          </w:tcPr>
          <w:p>
            <w:r>
              <w:rPr>
                <w:b w:val="0"/>
                <w:sz w:val="18"/>
              </w:rPr>
              <w:t>February 2026</w:t>
            </w:r>
          </w:p>
        </w:tc>
        <w:tc>
          <w:tcPr>
            <w:tcW w:type="dxa" w:w="2160"/>
          </w:tcPr>
          <w:p>
            <w:pPr>
              <w:jc w:val="right"/>
            </w:pPr>
            <w:r>
              <w:rPr>
                <w:b w:val="0"/>
                <w:sz w:val="18"/>
              </w:rPr>
              <w:t>88,067,409</w:t>
            </w:r>
          </w:p>
        </w:tc>
        <w:tc>
          <w:tcPr>
            <w:tcW w:type="dxa" w:w="2160"/>
          </w:tcPr>
          <w:p>
            <w:pPr>
              <w:jc w:val="right"/>
            </w:pPr>
            <w:r>
              <w:rPr>
                <w:b w:val="0"/>
                <w:sz w:val="18"/>
              </w:rPr>
              <w:t>79,799,959</w:t>
            </w:r>
          </w:p>
        </w:tc>
        <w:tc>
          <w:tcPr>
            <w:tcW w:type="dxa" w:w="2160"/>
          </w:tcPr>
          <w:p>
            <w:pPr>
              <w:jc w:val="right"/>
            </w:pPr>
            <w:r>
              <w:rPr>
                <w:b w:val="0"/>
                <w:sz w:val="18"/>
              </w:rPr>
              <w:t>8,267,450</w:t>
            </w:r>
          </w:p>
        </w:tc>
      </w:tr>
      <w:tr>
        <w:tc>
          <w:tcPr>
            <w:tcW w:type="dxa" w:w="2160"/>
          </w:tcPr>
          <w:p>
            <w:r>
              <w:rPr>
                <w:b w:val="0"/>
                <w:sz w:val="18"/>
              </w:rPr>
              <w:t>March 2026</w:t>
            </w:r>
          </w:p>
        </w:tc>
        <w:tc>
          <w:tcPr>
            <w:tcW w:type="dxa" w:w="2160"/>
          </w:tcPr>
          <w:p>
            <w:pPr>
              <w:jc w:val="right"/>
            </w:pPr>
            <w:r>
              <w:rPr>
                <w:b w:val="0"/>
                <w:sz w:val="18"/>
              </w:rPr>
              <w:t>86,771,408</w:t>
            </w:r>
          </w:p>
        </w:tc>
        <w:tc>
          <w:tcPr>
            <w:tcW w:type="dxa" w:w="2160"/>
          </w:tcPr>
          <w:p>
            <w:pPr>
              <w:jc w:val="right"/>
            </w:pPr>
            <w:r>
              <w:rPr>
                <w:b w:val="0"/>
                <w:sz w:val="18"/>
              </w:rPr>
              <w:t>77,740,022</w:t>
            </w:r>
          </w:p>
        </w:tc>
        <w:tc>
          <w:tcPr>
            <w:tcW w:type="dxa" w:w="2160"/>
          </w:tcPr>
          <w:p>
            <w:pPr>
              <w:jc w:val="right"/>
            </w:pPr>
            <w:r>
              <w:rPr>
                <w:b w:val="0"/>
                <w:sz w:val="18"/>
              </w:rPr>
              <w:t>9,031,386</w:t>
            </w:r>
          </w:p>
        </w:tc>
      </w:tr>
      <w:tr>
        <w:tc>
          <w:tcPr>
            <w:tcW w:type="dxa" w:w="2160"/>
          </w:tcPr>
          <w:p>
            <w:r>
              <w:rPr>
                <w:b w:val="0"/>
                <w:sz w:val="18"/>
              </w:rPr>
              <w:t>April 2026</w:t>
            </w:r>
          </w:p>
        </w:tc>
        <w:tc>
          <w:tcPr>
            <w:tcW w:type="dxa" w:w="2160"/>
          </w:tcPr>
          <w:p>
            <w:pPr>
              <w:jc w:val="right"/>
            </w:pPr>
            <w:r>
              <w:rPr>
                <w:b w:val="0"/>
                <w:sz w:val="18"/>
              </w:rPr>
              <w:t>93,990,800</w:t>
            </w:r>
          </w:p>
        </w:tc>
        <w:tc>
          <w:tcPr>
            <w:tcW w:type="dxa" w:w="2160"/>
          </w:tcPr>
          <w:p>
            <w:pPr>
              <w:jc w:val="right"/>
            </w:pPr>
            <w:r>
              <w:rPr>
                <w:b w:val="0"/>
                <w:sz w:val="18"/>
              </w:rPr>
              <w:t>84,501,884</w:t>
            </w:r>
          </w:p>
        </w:tc>
        <w:tc>
          <w:tcPr>
            <w:tcW w:type="dxa" w:w="2160"/>
          </w:tcPr>
          <w:p>
            <w:pPr>
              <w:jc w:val="right"/>
            </w:pPr>
            <w:r>
              <w:rPr>
                <w:b w:val="0"/>
                <w:sz w:val="18"/>
              </w:rPr>
              <w:t>9,488,916</w:t>
            </w:r>
          </w:p>
        </w:tc>
      </w:tr>
      <w:tr>
        <w:tc>
          <w:tcPr>
            <w:tcW w:type="dxa" w:w="2160"/>
          </w:tcPr>
          <w:p>
            <w:r>
              <w:rPr>
                <w:b w:val="0"/>
                <w:sz w:val="18"/>
              </w:rPr>
              <w:t>May 2026</w:t>
            </w:r>
          </w:p>
        </w:tc>
        <w:tc>
          <w:tcPr>
            <w:tcW w:type="dxa" w:w="2160"/>
          </w:tcPr>
          <w:p>
            <w:pPr>
              <w:jc w:val="right"/>
            </w:pPr>
            <w:r>
              <w:rPr>
                <w:b w:val="0"/>
                <w:sz w:val="18"/>
              </w:rPr>
              <w:t>72,344,431</w:t>
            </w:r>
          </w:p>
        </w:tc>
        <w:tc>
          <w:tcPr>
            <w:tcW w:type="dxa" w:w="2160"/>
          </w:tcPr>
          <w:p>
            <w:pPr>
              <w:jc w:val="right"/>
            </w:pPr>
            <w:r>
              <w:rPr>
                <w:b w:val="0"/>
                <w:sz w:val="18"/>
              </w:rPr>
              <w:t>62,248,646</w:t>
            </w:r>
          </w:p>
        </w:tc>
        <w:tc>
          <w:tcPr>
            <w:tcW w:type="dxa" w:w="2160"/>
          </w:tcPr>
          <w:p>
            <w:pPr>
              <w:jc w:val="right"/>
            </w:pPr>
            <w:r>
              <w:rPr>
                <w:b w:val="0"/>
                <w:sz w:val="18"/>
              </w:rPr>
              <w:t>10,095,785</w:t>
            </w:r>
          </w:p>
        </w:tc>
      </w:tr>
      <w:tr>
        <w:tc>
          <w:tcPr>
            <w:tcW w:type="dxa" w:w="2160"/>
          </w:tcPr>
          <w:p>
            <w:r>
              <w:rPr>
                <w:b w:val="0"/>
                <w:sz w:val="18"/>
              </w:rPr>
              <w:t>June 2026</w:t>
            </w:r>
          </w:p>
        </w:tc>
        <w:tc>
          <w:tcPr>
            <w:tcW w:type="dxa" w:w="2160"/>
          </w:tcPr>
          <w:p>
            <w:pPr>
              <w:jc w:val="right"/>
            </w:pPr>
            <w:r>
              <w:rPr>
                <w:b w:val="0"/>
                <w:sz w:val="18"/>
              </w:rPr>
              <w:t>70,421,340</w:t>
            </w:r>
          </w:p>
        </w:tc>
        <w:tc>
          <w:tcPr>
            <w:tcW w:type="dxa" w:w="2160"/>
          </w:tcPr>
          <w:p>
            <w:pPr>
              <w:jc w:val="right"/>
            </w:pPr>
            <w:r>
              <w:rPr>
                <w:b w:val="0"/>
                <w:sz w:val="18"/>
              </w:rPr>
              <w:t>58,301,951</w:t>
            </w:r>
          </w:p>
        </w:tc>
        <w:tc>
          <w:tcPr>
            <w:tcW w:type="dxa" w:w="2160"/>
          </w:tcPr>
          <w:p>
            <w:pPr>
              <w:jc w:val="right"/>
            </w:pPr>
            <w:r>
              <w:rPr>
                <w:b w:val="0"/>
                <w:sz w:val="18"/>
              </w:rPr>
              <w:t>12,119,389</w:t>
            </w:r>
          </w:p>
        </w:tc>
      </w:tr>
      <w:tr>
        <w:tc>
          <w:tcPr>
            <w:tcW w:type="dxa" w:w="2160"/>
          </w:tcPr>
          <w:p>
            <w:r>
              <w:rPr>
                <w:b w:val="0"/>
                <w:sz w:val="18"/>
              </w:rPr>
              <w:t>July 2026</w:t>
            </w:r>
          </w:p>
        </w:tc>
        <w:tc>
          <w:tcPr>
            <w:tcW w:type="dxa" w:w="2160"/>
          </w:tcPr>
          <w:p>
            <w:pPr>
              <w:jc w:val="right"/>
            </w:pPr>
            <w:r>
              <w:rPr>
                <w:b w:val="0"/>
                <w:sz w:val="18"/>
              </w:rPr>
              <w:t>78,289,138</w:t>
            </w:r>
          </w:p>
        </w:tc>
        <w:tc>
          <w:tcPr>
            <w:tcW w:type="dxa" w:w="2160"/>
          </w:tcPr>
          <w:p>
            <w:pPr>
              <w:jc w:val="right"/>
            </w:pPr>
            <w:r>
              <w:rPr>
                <w:b w:val="0"/>
                <w:sz w:val="18"/>
              </w:rPr>
              <w:t>63,252,421</w:t>
            </w:r>
          </w:p>
        </w:tc>
        <w:tc>
          <w:tcPr>
            <w:tcW w:type="dxa" w:w="2160"/>
          </w:tcPr>
          <w:p>
            <w:pPr>
              <w:jc w:val="right"/>
            </w:pPr>
            <w:r>
              <w:rPr>
                <w:b w:val="0"/>
                <w:sz w:val="18"/>
              </w:rPr>
              <w:t>15,036,717</w:t>
            </w:r>
          </w:p>
        </w:tc>
      </w:tr>
      <w:tr>
        <w:tc>
          <w:tcPr>
            <w:tcW w:type="dxa" w:w="2160"/>
          </w:tcPr>
          <w:p>
            <w:r>
              <w:rPr>
                <w:b w:val="0"/>
                <w:sz w:val="18"/>
              </w:rPr>
              <w:t>August 2026</w:t>
            </w:r>
          </w:p>
        </w:tc>
        <w:tc>
          <w:tcPr>
            <w:tcW w:type="dxa" w:w="2160"/>
          </w:tcPr>
          <w:p>
            <w:pPr>
              <w:jc w:val="right"/>
            </w:pPr>
            <w:r>
              <w:rPr>
                <w:b w:val="0"/>
                <w:sz w:val="18"/>
              </w:rPr>
              <w:t>91,201,041</w:t>
            </w:r>
          </w:p>
        </w:tc>
        <w:tc>
          <w:tcPr>
            <w:tcW w:type="dxa" w:w="2160"/>
          </w:tcPr>
          <w:p>
            <w:pPr>
              <w:jc w:val="right"/>
            </w:pPr>
            <w:r>
              <w:rPr>
                <w:b w:val="0"/>
                <w:sz w:val="18"/>
              </w:rPr>
              <w:t>76,754,032</w:t>
            </w:r>
          </w:p>
        </w:tc>
        <w:tc>
          <w:tcPr>
            <w:tcW w:type="dxa" w:w="2160"/>
          </w:tcPr>
          <w:p>
            <w:pPr>
              <w:jc w:val="right"/>
            </w:pPr>
            <w:r>
              <w:rPr>
                <w:b w:val="0"/>
                <w:sz w:val="18"/>
              </w:rPr>
              <w:t>14,447,009</w:t>
            </w:r>
          </w:p>
        </w:tc>
      </w:tr>
      <w:tr>
        <w:tc>
          <w:tcPr>
            <w:tcW w:type="dxa" w:w="2160"/>
          </w:tcPr>
          <w:p>
            <w:r>
              <w:rPr>
                <w:b w:val="0"/>
                <w:sz w:val="18"/>
              </w:rPr>
              <w:t>September 2026</w:t>
            </w:r>
          </w:p>
        </w:tc>
        <w:tc>
          <w:tcPr>
            <w:tcW w:type="dxa" w:w="2160"/>
          </w:tcPr>
          <w:p>
            <w:pPr>
              <w:jc w:val="right"/>
            </w:pPr>
            <w:r>
              <w:rPr>
                <w:b w:val="0"/>
                <w:sz w:val="18"/>
              </w:rPr>
              <w:t>100,010,946</w:t>
            </w:r>
          </w:p>
        </w:tc>
        <w:tc>
          <w:tcPr>
            <w:tcW w:type="dxa" w:w="2160"/>
          </w:tcPr>
          <w:p>
            <w:pPr>
              <w:jc w:val="right"/>
            </w:pPr>
            <w:r>
              <w:rPr>
                <w:b w:val="0"/>
                <w:sz w:val="18"/>
              </w:rPr>
              <w:t>89,142,611</w:t>
            </w:r>
          </w:p>
        </w:tc>
        <w:tc>
          <w:tcPr>
            <w:tcW w:type="dxa" w:w="2160"/>
          </w:tcPr>
          <w:p>
            <w:pPr>
              <w:jc w:val="right"/>
            </w:pPr>
            <w:r>
              <w:rPr>
                <w:b w:val="0"/>
                <w:sz w:val="18"/>
              </w:rPr>
              <w:t>10,868,335</w:t>
            </w:r>
          </w:p>
        </w:tc>
      </w:tr>
      <w:tr>
        <w:tc>
          <w:tcPr>
            <w:tcW w:type="dxa" w:w="2160"/>
          </w:tcPr>
          <w:p>
            <w:r>
              <w:rPr>
                <w:b/>
                <w:sz w:val="18"/>
              </w:rPr>
              <w:t>Year</w:t>
            </w:r>
          </w:p>
        </w:tc>
        <w:tc>
          <w:tcPr>
            <w:tcW w:type="dxa" w:w="2160"/>
          </w:tcPr>
          <w:p>
            <w:pPr>
              <w:jc w:val="right"/>
            </w:pPr>
            <w:r>
              <w:rPr>
                <w:b/>
                <w:sz w:val="18"/>
              </w:rPr>
              <w:t>1,021,278,949</w:t>
            </w:r>
          </w:p>
        </w:tc>
        <w:tc>
          <w:tcPr>
            <w:tcW w:type="dxa" w:w="2160"/>
          </w:tcPr>
          <w:p>
            <w:pPr>
              <w:jc w:val="right"/>
            </w:pPr>
            <w:r>
              <w:rPr>
                <w:b/>
                <w:sz w:val="18"/>
              </w:rPr>
              <w:t>895,649,737</w:t>
            </w:r>
          </w:p>
        </w:tc>
        <w:tc>
          <w:tcPr>
            <w:tcW w:type="dxa" w:w="2160"/>
          </w:tcPr>
          <w:p>
            <w:pPr>
              <w:jc w:val="right"/>
            </w:pPr>
            <w:r>
              <w:rPr>
                <w:b/>
                <w:sz w:val="18"/>
              </w:rPr>
              <w:t>125,629,212</w:t>
            </w:r>
          </w:p>
        </w:tc>
      </w:tr>
    </w:tbl>
    <w:p>
      <w:r>
        <w:rPr>
          <w:i/>
          <w:sz w:val="17"/>
        </w:rPr>
        <w:t>Water used: the wells' meters less the change in the four tanks' storage between the month's first midnights. Delivered: the buildings' service meters, AMR month-end reads and the vault meters' logged reads.</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2880360"/>
                    </a:xfrm>
                    <a:prstGeom prst="rect"/>
                  </pic:spPr>
                </pic:pic>
              </a:graphicData>
            </a:graphic>
          </wp:inline>
        </w:drawing>
      </w:r>
    </w:p>
    <w:p>
      <w:r>
        <w:t>Grounds irrigation is unmetered and counts in the water lost; so does the water used to flush hydrants in April and lost at the two main breaks in January and February.</w:t>
      </w:r>
    </w:p>
    <w:p>
      <w:pPr>
        <w:pStyle w:val="Heading2"/>
      </w:pPr>
      <w:r>
        <w:t>3. Water use by building group</w:t>
      </w:r>
    </w:p>
    <w:p>
      <w:r>
        <w:t>Water delivered over the evaluation period, as the buildings' meters recorded it: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Building group</w:t>
            </w:r>
          </w:p>
        </w:tc>
        <w:tc>
          <w:tcPr>
            <w:tcW w:type="dxa" w:w="4320"/>
          </w:tcPr>
          <w:p>
            <w:pPr>
              <w:jc w:val="right"/>
            </w:pPr>
            <w:r>
              <w:rPr>
                <w:b/>
                <w:sz w:val="19"/>
              </w:rPr>
              <w:t>Water used (gal)</w:t>
            </w:r>
          </w:p>
        </w:tc>
      </w:tr>
      <w:tr>
        <w:tc>
          <w:tcPr>
            <w:tcW w:type="dxa" w:w="4320"/>
          </w:tcPr>
          <w:p>
            <w:r>
              <w:rPr>
                <w:b w:val="0"/>
                <w:sz w:val="19"/>
              </w:rPr>
              <w:t>Residence halls</w:t>
            </w:r>
          </w:p>
        </w:tc>
        <w:tc>
          <w:tcPr>
            <w:tcW w:type="dxa" w:w="4320"/>
          </w:tcPr>
          <w:p>
            <w:pPr>
              <w:jc w:val="right"/>
            </w:pPr>
            <w:r>
              <w:rPr>
                <w:b w:val="0"/>
                <w:sz w:val="19"/>
              </w:rPr>
              <w:t>280,319,280</w:t>
            </w:r>
          </w:p>
        </w:tc>
      </w:tr>
      <w:tr>
        <w:tc>
          <w:tcPr>
            <w:tcW w:type="dxa" w:w="4320"/>
          </w:tcPr>
          <w:p>
            <w:r>
              <w:rPr>
                <w:b w:val="0"/>
                <w:sz w:val="19"/>
              </w:rPr>
              <w:t>Academic and research buildings</w:t>
            </w:r>
          </w:p>
        </w:tc>
        <w:tc>
          <w:tcPr>
            <w:tcW w:type="dxa" w:w="4320"/>
          </w:tcPr>
          <w:p>
            <w:pPr>
              <w:jc w:val="right"/>
            </w:pPr>
            <w:r>
              <w:rPr>
                <w:b w:val="0"/>
                <w:sz w:val="19"/>
              </w:rPr>
              <w:t>366,798,732</w:t>
            </w:r>
          </w:p>
        </w:tc>
      </w:tr>
      <w:tr>
        <w:tc>
          <w:tcPr>
            <w:tcW w:type="dxa" w:w="4320"/>
          </w:tcPr>
          <w:p>
            <w:r>
              <w:rPr>
                <w:b w:val="0"/>
                <w:sz w:val="19"/>
              </w:rPr>
              <w:t>Athletics facilities</w:t>
            </w:r>
          </w:p>
        </w:tc>
        <w:tc>
          <w:tcPr>
            <w:tcW w:type="dxa" w:w="4320"/>
          </w:tcPr>
          <w:p>
            <w:pPr>
              <w:jc w:val="right"/>
            </w:pPr>
            <w:r>
              <w:rPr>
                <w:b w:val="0"/>
                <w:sz w:val="19"/>
              </w:rPr>
              <w:t>36,193,200</w:t>
            </w:r>
          </w:p>
        </w:tc>
      </w:tr>
      <w:tr>
        <w:tc>
          <w:tcPr>
            <w:tcW w:type="dxa" w:w="4320"/>
          </w:tcPr>
          <w:p>
            <w:r>
              <w:rPr>
                <w:b w:val="0"/>
                <w:sz w:val="19"/>
              </w:rPr>
              <w:t>Central energy plant</w:t>
            </w:r>
          </w:p>
        </w:tc>
        <w:tc>
          <w:tcPr>
            <w:tcW w:type="dxa" w:w="4320"/>
          </w:tcPr>
          <w:p>
            <w:pPr>
              <w:jc w:val="right"/>
            </w:pPr>
            <w:r>
              <w:rPr>
                <w:b w:val="0"/>
                <w:sz w:val="19"/>
              </w:rPr>
              <w:t>87,422,200</w:t>
            </w:r>
          </w:p>
        </w:tc>
      </w:tr>
    </w:tbl>
    <w:p>
      <w:r>
        <w:t>The academic and research buildings include the Science Annex until its meter was removed on December 19, 2025, before the building was demolished; the residence halls include Larch Hall, which took over the annex's building number, from its meter's installation on July 14, 2026.</w:t>
      </w:r>
    </w:p>
    <w:p>
      <w:r>
        <w:t>Please call me with any questions.</w:t>
      </w:r>
    </w:p>
    <w:p>
      <w:r>
        <w:t>Sincerely,</w:t>
        <w:br/>
        <w:br/>
        <w:t>Shelly McCarthy</w:t>
        <w:br/>
        <w:t>Director of Campus Utilities</w:t>
      </w:r>
    </w:p>
    <w:p>
      <w:r>
        <w:t>cc: Darrell Clark, Capital Planning; Wayne Hicks, Chief Water Operator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PWSID 4149327, 2026 Sanitary Survey response,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Sanitary Survey response, PWSID 4149327</dc:title>
  <dc:subject/>
  <dc:creator>Shelly McCarthy</dc:creator>
  <cp:keywords/>
  <dc:description/>
  <cp:lastModifiedBy>Shelly McCarthy</cp:lastModifiedBy>
  <cp:revision>3</cp:revision>
  <dcterms:created xsi:type="dcterms:W3CDTF">2026-10-14T08:20:00Z</dcterms:created>
  <dcterms:modified xsi:type="dcterms:W3CDTF">2026-10-16T10:02:00Z</dcterms:modified>
  <cp:category/>
</cp:coreProperties>
</file>