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0F4C5C"/>
          <w:sz w:val="28"/>
        </w:rPr>
        <w:t>Five segments for the 2027 retirement range: 55 to 64 stands on its own; 65 and over is one segment</w:t>
      </w:r>
    </w:p>
    <w:p>
      <w:pPr>
        <w:spacing w:after="100"/>
      </w:pPr>
      <w:r>
        <w:rPr>
          <w:color w:val="5A646D"/>
          <w:sz w:val="17"/>
        </w:rPr>
        <w:t>For decision. From Insights and Analytics to Tracey Zimmerman, Head of Retirement Products, and the Retirement Product Committee (chair Ryan Ferrell). 20 January 2027.</w:t>
      </w:r>
    </w:p>
    <w:p>
      <w:pPr>
        <w:spacing w:before="160" w:after="100"/>
      </w:pPr>
      <w:r>
        <w:rPr>
          <w:b/>
          <w:sz w:val="22"/>
        </w:rPr>
        <w:t>Recommendation</w:t>
      </w:r>
    </w:p>
    <w:p>
      <w:pPr>
        <w:spacing w:after="100"/>
      </w:pPr>
      <w:r>
        <w:t>Set the 2027 range on five segments: Under 35, 35 to 44, 45 to 54, 55 to 64, 65 and over. Under the committee's rule every boundary but one holds, and 65 to 74 shares a segment with 75 and over.</w:t>
      </w:r>
    </w:p>
    <w:p>
      <w:pPr>
        <w:spacing w:after="100"/>
      </w:pPr>
      <w:r>
        <w:t>The boundary that decides the structure is the one at 65. Households whose older partner is 55 to 64 have a median net worth of $790,000 against $1,048,000 for 65 to 74, a difference of $258,000 whose standard error is $95,000, so the difference is 2.7 times its standard error and the two groups stay apart. Between 65 to 74 and 75 and over the medians differ by $233,000 against a standard error of $149,000 (1.6 times), so they share a segment.</w:t>
      </w:r>
    </w:p>
    <w:p>
      <w:pPr>
        <w:spacing w:after="100"/>
      </w:pPr>
      <w:r>
        <w:t>Each difference's standard error is estimated on the difference itself: recomputed with each of the survey's 200 replicate weights, with the five implicates' variance added, as the user guide sets out for any estimate. The age groups are drawn from the same 120 survey areas, and where an area's housing is worth more both groups' medians rise together: across the replicates the 55 to 64 and 65 to 74 medians move together (correlation 0.70), so their difference varies much less than the two groups' own standard errors suggest. Added together as if the groups were separate samples, those errors would put the 65 boundary's standard error at $165,000, merge 55 to 64 with 65 and over and leave the range with four segments.</w:t>
      </w:r>
    </w:p>
    <w:p>
      <w:pPr>
        <w:spacing w:before="160" w:after="100"/>
      </w:pPr>
      <w:r>
        <w:rPr>
          <w:b/>
          <w:sz w:val="22"/>
        </w:rPr>
        <w:t>The evidence for each boundary</w:t>
      </w:r>
    </w:p>
    <w:tbl>
      <w:tblPr>
        <w:tblStyle w:val="LightList-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t>Neighbouring groups</w:t>
            </w:r>
          </w:p>
        </w:tc>
        <w:tc>
          <w:tcPr>
            <w:tcW w:type="dxa" w:w="1440"/>
          </w:tcPr>
          <w:p>
            <w:r>
              <w:t>Difference in median</w:t>
            </w:r>
          </w:p>
        </w:tc>
        <w:tc>
          <w:tcPr>
            <w:tcW w:type="dxa" w:w="1440"/>
          </w:tcPr>
          <w:p>
            <w:r>
              <w:t>Standard error</w:t>
            </w:r>
          </w:p>
        </w:tc>
        <w:tc>
          <w:tcPr>
            <w:tcW w:type="dxa" w:w="1440"/>
          </w:tcPr>
          <w:p>
            <w:r>
              <w:t>Times its error</w:t>
            </w:r>
          </w:p>
        </w:tc>
        <w:tc>
          <w:tcPr>
            <w:tcW w:type="dxa" w:w="1440"/>
          </w:tcPr>
          <w:p>
            <w:r>
              <w:t>95% interval</w:t>
            </w:r>
          </w:p>
        </w:tc>
        <w:tc>
          <w:tcPr>
            <w:tcW w:type="dxa" w:w="1440"/>
          </w:tcPr>
          <w:p>
            <w:r>
              <w:t>Committee's rule</w:t>
            </w:r>
          </w:p>
        </w:tc>
      </w:tr>
      <w:tr>
        <w:tc>
          <w:tcPr>
            <w:tcW w:type="dxa" w:w="1440"/>
          </w:tcPr>
          <w:p>
            <w:r>
              <w:t>Under 35 / 35 to 44</w:t>
            </w:r>
          </w:p>
        </w:tc>
        <w:tc>
          <w:tcPr>
            <w:tcW w:type="dxa" w:w="1440"/>
          </w:tcPr>
          <w:p>
            <w:pPr>
              <w:jc w:val="right"/>
            </w:pPr>
            <w:r>
              <w:t>$212,000</w:t>
            </w:r>
          </w:p>
        </w:tc>
        <w:tc>
          <w:tcPr>
            <w:tcW w:type="dxa" w:w="1440"/>
          </w:tcPr>
          <w:p>
            <w:pPr>
              <w:jc w:val="right"/>
            </w:pPr>
            <w:r>
              <w:t>$24,000</w:t>
            </w:r>
          </w:p>
        </w:tc>
        <w:tc>
          <w:tcPr>
            <w:tcW w:type="dxa" w:w="1440"/>
          </w:tcPr>
          <w:p>
            <w:pPr>
              <w:jc w:val="right"/>
            </w:pPr>
            <w:r>
              <w:t>8.9</w:t>
            </w:r>
          </w:p>
        </w:tc>
        <w:tc>
          <w:tcPr>
            <w:tcW w:type="dxa" w:w="1440"/>
          </w:tcPr>
          <w:p>
            <w:r>
              <w:t>$166,000 to $259,000</w:t>
            </w:r>
          </w:p>
        </w:tc>
        <w:tc>
          <w:tcPr>
            <w:tcW w:type="dxa" w:w="1440"/>
          </w:tcPr>
          <w:p>
            <w:r>
              <w:t>Kept apart</w:t>
            </w:r>
          </w:p>
        </w:tc>
      </w:tr>
      <w:tr>
        <w:tc>
          <w:tcPr>
            <w:tcW w:type="dxa" w:w="1440"/>
          </w:tcPr>
          <w:p>
            <w:r>
              <w:t>35 to 44 / 45 to 54</w:t>
            </w:r>
          </w:p>
        </w:tc>
        <w:tc>
          <w:tcPr>
            <w:tcW w:type="dxa" w:w="1440"/>
          </w:tcPr>
          <w:p>
            <w:pPr>
              <w:jc w:val="right"/>
            </w:pPr>
            <w:r>
              <w:t>$253,000</w:t>
            </w:r>
          </w:p>
        </w:tc>
        <w:tc>
          <w:tcPr>
            <w:tcW w:type="dxa" w:w="1440"/>
          </w:tcPr>
          <w:p>
            <w:pPr>
              <w:jc w:val="right"/>
            </w:pPr>
            <w:r>
              <w:t>$45,000</w:t>
            </w:r>
          </w:p>
        </w:tc>
        <w:tc>
          <w:tcPr>
            <w:tcW w:type="dxa" w:w="1440"/>
          </w:tcPr>
          <w:p>
            <w:pPr>
              <w:jc w:val="right"/>
            </w:pPr>
            <w:r>
              <w:t>5.6</w:t>
            </w:r>
          </w:p>
        </w:tc>
        <w:tc>
          <w:tcPr>
            <w:tcW w:type="dxa" w:w="1440"/>
          </w:tcPr>
          <w:p>
            <w:r>
              <w:t>$164,000 to $342,000</w:t>
            </w:r>
          </w:p>
        </w:tc>
        <w:tc>
          <w:tcPr>
            <w:tcW w:type="dxa" w:w="1440"/>
          </w:tcPr>
          <w:p>
            <w:r>
              <w:t>Kept apart</w:t>
            </w:r>
          </w:p>
        </w:tc>
      </w:tr>
      <w:tr>
        <w:tc>
          <w:tcPr>
            <w:tcW w:type="dxa" w:w="1440"/>
          </w:tcPr>
          <w:p>
            <w:r>
              <w:t>45 to 54 / 55 to 64</w:t>
            </w:r>
          </w:p>
        </w:tc>
        <w:tc>
          <w:tcPr>
            <w:tcW w:type="dxa" w:w="1440"/>
          </w:tcPr>
          <w:p>
            <w:pPr>
              <w:jc w:val="right"/>
            </w:pPr>
            <w:r>
              <w:t>$256,000</w:t>
            </w:r>
          </w:p>
        </w:tc>
        <w:tc>
          <w:tcPr>
            <w:tcW w:type="dxa" w:w="1440"/>
          </w:tcPr>
          <w:p>
            <w:pPr>
              <w:jc w:val="right"/>
            </w:pPr>
            <w:r>
              <w:t>$77,000</w:t>
            </w:r>
          </w:p>
        </w:tc>
        <w:tc>
          <w:tcPr>
            <w:tcW w:type="dxa" w:w="1440"/>
          </w:tcPr>
          <w:p>
            <w:pPr>
              <w:jc w:val="right"/>
            </w:pPr>
            <w:r>
              <w:t>3.3</w:t>
            </w:r>
          </w:p>
        </w:tc>
        <w:tc>
          <w:tcPr>
            <w:tcW w:type="dxa" w:w="1440"/>
          </w:tcPr>
          <w:p>
            <w:r>
              <w:t>$106,000 to $407,000</w:t>
            </w:r>
          </w:p>
        </w:tc>
        <w:tc>
          <w:tcPr>
            <w:tcW w:type="dxa" w:w="1440"/>
          </w:tcPr>
          <w:p>
            <w:r>
              <w:t>Kept apart</w:t>
            </w:r>
          </w:p>
        </w:tc>
      </w:tr>
      <w:tr>
        <w:tc>
          <w:tcPr>
            <w:tcW w:type="dxa" w:w="1440"/>
          </w:tcPr>
          <w:p>
            <w:r>
              <w:t>55 to 64 / 65 to 74</w:t>
            </w:r>
          </w:p>
        </w:tc>
        <w:tc>
          <w:tcPr>
            <w:tcW w:type="dxa" w:w="1440"/>
          </w:tcPr>
          <w:p>
            <w:pPr>
              <w:jc w:val="right"/>
            </w:pPr>
            <w:r>
              <w:t>$258,000</w:t>
            </w:r>
          </w:p>
        </w:tc>
        <w:tc>
          <w:tcPr>
            <w:tcW w:type="dxa" w:w="1440"/>
          </w:tcPr>
          <w:p>
            <w:pPr>
              <w:jc w:val="right"/>
            </w:pPr>
            <w:r>
              <w:t>$95,000</w:t>
            </w:r>
          </w:p>
        </w:tc>
        <w:tc>
          <w:tcPr>
            <w:tcW w:type="dxa" w:w="1440"/>
          </w:tcPr>
          <w:p>
            <w:pPr>
              <w:jc w:val="right"/>
            </w:pPr>
            <w:r>
              <w:t>2.7</w:t>
            </w:r>
          </w:p>
        </w:tc>
        <w:tc>
          <w:tcPr>
            <w:tcW w:type="dxa" w:w="1440"/>
          </w:tcPr>
          <w:p>
            <w:r>
              <w:t>$71,000 to $444,000</w:t>
            </w:r>
          </w:p>
        </w:tc>
        <w:tc>
          <w:tcPr>
            <w:tcW w:type="dxa" w:w="1440"/>
          </w:tcPr>
          <w:p>
            <w:r>
              <w:t>Kept apart</w:t>
            </w:r>
          </w:p>
        </w:tc>
      </w:tr>
      <w:tr>
        <w:tc>
          <w:tcPr>
            <w:tcW w:type="dxa" w:w="1440"/>
          </w:tcPr>
          <w:p>
            <w:r>
              <w:t>65 to 74 / 75 and over</w:t>
            </w:r>
          </w:p>
        </w:tc>
        <w:tc>
          <w:tcPr>
            <w:tcW w:type="dxa" w:w="1440"/>
          </w:tcPr>
          <w:p>
            <w:pPr>
              <w:jc w:val="right"/>
            </w:pPr>
            <w:r>
              <w:t>-$233,000</w:t>
            </w:r>
          </w:p>
        </w:tc>
        <w:tc>
          <w:tcPr>
            <w:tcW w:type="dxa" w:w="1440"/>
          </w:tcPr>
          <w:p>
            <w:pPr>
              <w:jc w:val="right"/>
            </w:pPr>
            <w:r>
              <w:t>$149,000</w:t>
            </w:r>
          </w:p>
        </w:tc>
        <w:tc>
          <w:tcPr>
            <w:tcW w:type="dxa" w:w="1440"/>
          </w:tcPr>
          <w:p>
            <w:pPr>
              <w:jc w:val="right"/>
            </w:pPr>
            <w:r>
              <w:t>-1.6</w:t>
            </w:r>
          </w:p>
        </w:tc>
        <w:tc>
          <w:tcPr>
            <w:tcW w:type="dxa" w:w="1440"/>
          </w:tcPr>
          <w:p>
            <w:r>
              <w:t>-$525,000 to $59,000</w:t>
            </w:r>
          </w:p>
        </w:tc>
        <w:tc>
          <w:tcPr>
            <w:tcW w:type="dxa" w:w="1440"/>
          </w:tcPr>
          <w:p>
            <w:r>
              <w:t>One segment</w:t>
            </w:r>
          </w:p>
        </w:tc>
      </w:tr>
    </w:tbl>
    <w:p>
      <w:pPr>
        <w:spacing w:after="100"/>
      </w:pP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Age group (older partner)</w:t>
            </w:r>
          </w:p>
        </w:tc>
        <w:tc>
          <w:tcPr>
            <w:tcW w:type="dxa" w:w="2160"/>
          </w:tcPr>
          <w:p>
            <w:r>
              <w:t>Households (weighted)</w:t>
            </w:r>
          </w:p>
        </w:tc>
        <w:tc>
          <w:tcPr>
            <w:tcW w:type="dxa" w:w="2160"/>
          </w:tcPr>
          <w:p>
            <w:r>
              <w:t>Median net worth</w:t>
            </w:r>
          </w:p>
        </w:tc>
        <w:tc>
          <w:tcPr>
            <w:tcW w:type="dxa" w:w="2160"/>
          </w:tcPr>
          <w:p>
            <w:r>
              <w:t>Standard error</w:t>
            </w:r>
          </w:p>
        </w:tc>
      </w:tr>
      <w:tr>
        <w:tc>
          <w:tcPr>
            <w:tcW w:type="dxa" w:w="2160"/>
          </w:tcPr>
          <w:p>
            <w:r>
              <w:t>Under 35</w:t>
            </w:r>
          </w:p>
        </w:tc>
        <w:tc>
          <w:tcPr>
            <w:tcW w:type="dxa" w:w="2160"/>
          </w:tcPr>
          <w:p>
            <w:pPr>
              <w:jc w:val="right"/>
            </w:pPr>
            <w:r>
              <w:t>1,867,000</w:t>
            </w:r>
          </w:p>
        </w:tc>
        <w:tc>
          <w:tcPr>
            <w:tcW w:type="dxa" w:w="2160"/>
          </w:tcPr>
          <w:p>
            <w:pPr>
              <w:jc w:val="right"/>
            </w:pPr>
            <w:r>
              <w:t>$69,000</w:t>
            </w:r>
          </w:p>
        </w:tc>
        <w:tc>
          <w:tcPr>
            <w:tcW w:type="dxa" w:w="2160"/>
          </w:tcPr>
          <w:p>
            <w:pPr>
              <w:jc w:val="right"/>
            </w:pPr>
            <w:r>
              <w:t>$7,000</w:t>
            </w:r>
          </w:p>
        </w:tc>
      </w:tr>
      <w:tr>
        <w:tc>
          <w:tcPr>
            <w:tcW w:type="dxa" w:w="2160"/>
          </w:tcPr>
          <w:p>
            <w:r>
              <w:t>35 to 44</w:t>
            </w:r>
          </w:p>
        </w:tc>
        <w:tc>
          <w:tcPr>
            <w:tcW w:type="dxa" w:w="2160"/>
          </w:tcPr>
          <w:p>
            <w:pPr>
              <w:jc w:val="right"/>
            </w:pPr>
            <w:r>
              <w:t>1,757,000</w:t>
            </w:r>
          </w:p>
        </w:tc>
        <w:tc>
          <w:tcPr>
            <w:tcW w:type="dxa" w:w="2160"/>
          </w:tcPr>
          <w:p>
            <w:pPr>
              <w:jc w:val="right"/>
            </w:pPr>
            <w:r>
              <w:t>$281,000</w:t>
            </w:r>
          </w:p>
        </w:tc>
        <w:tc>
          <w:tcPr>
            <w:tcW w:type="dxa" w:w="2160"/>
          </w:tcPr>
          <w:p>
            <w:pPr>
              <w:jc w:val="right"/>
            </w:pPr>
            <w:r>
              <w:t>$25,000</w:t>
            </w:r>
          </w:p>
        </w:tc>
      </w:tr>
      <w:tr>
        <w:tc>
          <w:tcPr>
            <w:tcW w:type="dxa" w:w="2160"/>
          </w:tcPr>
          <w:p>
            <w:r>
              <w:t>45 to 54</w:t>
            </w:r>
          </w:p>
        </w:tc>
        <w:tc>
          <w:tcPr>
            <w:tcW w:type="dxa" w:w="2160"/>
          </w:tcPr>
          <w:p>
            <w:pPr>
              <w:jc w:val="right"/>
            </w:pPr>
            <w:r>
              <w:t>1,872,000</w:t>
            </w:r>
          </w:p>
        </w:tc>
        <w:tc>
          <w:tcPr>
            <w:tcW w:type="dxa" w:w="2160"/>
          </w:tcPr>
          <w:p>
            <w:pPr>
              <w:jc w:val="right"/>
            </w:pPr>
            <w:r>
              <w:t>$534,000</w:t>
            </w:r>
          </w:p>
        </w:tc>
        <w:tc>
          <w:tcPr>
            <w:tcW w:type="dxa" w:w="2160"/>
          </w:tcPr>
          <w:p>
            <w:pPr>
              <w:jc w:val="right"/>
            </w:pPr>
            <w:r>
              <w:t>$50,000</w:t>
            </w:r>
          </w:p>
        </w:tc>
      </w:tr>
      <w:tr>
        <w:tc>
          <w:tcPr>
            <w:tcW w:type="dxa" w:w="2160"/>
          </w:tcPr>
          <w:p>
            <w:r>
              <w:t>55 to 64</w:t>
            </w:r>
          </w:p>
        </w:tc>
        <w:tc>
          <w:tcPr>
            <w:tcW w:type="dxa" w:w="2160"/>
          </w:tcPr>
          <w:p>
            <w:pPr>
              <w:jc w:val="right"/>
            </w:pPr>
            <w:r>
              <w:t>1,882,000</w:t>
            </w:r>
          </w:p>
        </w:tc>
        <w:tc>
          <w:tcPr>
            <w:tcW w:type="dxa" w:w="2160"/>
          </w:tcPr>
          <w:p>
            <w:pPr>
              <w:jc w:val="right"/>
            </w:pPr>
            <w:r>
              <w:t>$790,000</w:t>
            </w:r>
          </w:p>
        </w:tc>
        <w:tc>
          <w:tcPr>
            <w:tcW w:type="dxa" w:w="2160"/>
          </w:tcPr>
          <w:p>
            <w:pPr>
              <w:jc w:val="right"/>
            </w:pPr>
            <w:r>
              <w:t>$93,000</w:t>
            </w:r>
          </w:p>
        </w:tc>
      </w:tr>
      <w:tr>
        <w:tc>
          <w:tcPr>
            <w:tcW w:type="dxa" w:w="2160"/>
          </w:tcPr>
          <w:p>
            <w:r>
              <w:t>65 to 74</w:t>
            </w:r>
          </w:p>
        </w:tc>
        <w:tc>
          <w:tcPr>
            <w:tcW w:type="dxa" w:w="2160"/>
          </w:tcPr>
          <w:p>
            <w:pPr>
              <w:jc w:val="right"/>
            </w:pPr>
            <w:r>
              <w:t>1,869,000</w:t>
            </w:r>
          </w:p>
        </w:tc>
        <w:tc>
          <w:tcPr>
            <w:tcW w:type="dxa" w:w="2160"/>
          </w:tcPr>
          <w:p>
            <w:pPr>
              <w:jc w:val="right"/>
            </w:pPr>
            <w:r>
              <w:t>$1,048,000</w:t>
            </w:r>
          </w:p>
        </w:tc>
        <w:tc>
          <w:tcPr>
            <w:tcW w:type="dxa" w:w="2160"/>
          </w:tcPr>
          <w:p>
            <w:pPr>
              <w:jc w:val="right"/>
            </w:pPr>
            <w:r>
              <w:t>$136,000</w:t>
            </w:r>
          </w:p>
        </w:tc>
      </w:tr>
      <w:tr>
        <w:tc>
          <w:tcPr>
            <w:tcW w:type="dxa" w:w="2160"/>
          </w:tcPr>
          <w:p>
            <w:r>
              <w:t>75 and over</w:t>
            </w:r>
          </w:p>
        </w:tc>
        <w:tc>
          <w:tcPr>
            <w:tcW w:type="dxa" w:w="2160"/>
          </w:tcPr>
          <w:p>
            <w:pPr>
              <w:jc w:val="right"/>
            </w:pPr>
            <w:r>
              <w:t>1,205,000</w:t>
            </w:r>
          </w:p>
        </w:tc>
        <w:tc>
          <w:tcPr>
            <w:tcW w:type="dxa" w:w="2160"/>
          </w:tcPr>
          <w:p>
            <w:pPr>
              <w:jc w:val="right"/>
            </w:pPr>
            <w:r>
              <w:t>$815,000</w:t>
            </w:r>
          </w:p>
        </w:tc>
        <w:tc>
          <w:tcPr>
            <w:tcW w:type="dxa" w:w="2160"/>
          </w:tcPr>
          <w:p>
            <w:pPr>
              <w:jc w:val="right"/>
            </w:pPr>
            <w:r>
              <w:t>$139,000</w:t>
            </w:r>
          </w:p>
        </w:tc>
      </w:tr>
    </w:tbl>
    <w:p>
      <w:pPr>
        <w:spacing w:after="100"/>
      </w:pPr>
      <w:r>
        <w:rPr>
          <w:sz w:val="16"/>
        </w:rPr>
        <w:t>Source: National Household Wealth Survey 2025, public-use release (Household Finance Research Centre, September 2026); medians weighted, averaged over five implicates.</w:t>
      </w:r>
    </w:p>
    <w:p>
      <w:pPr>
        <w:spacing w:before="160" w:after="100"/>
      </w:pPr>
      <w:r>
        <w:rPr>
          <w:b/>
          <w:sz w:val="22"/>
        </w:rPr>
        <w:t>Our retirement income customers in the three groups from 55</w:t>
      </w:r>
    </w:p>
    <w:p>
      <w:pPr>
        <w:spacing w:after="100"/>
      </w:pPr>
      <w:r>
        <w:t>Placed the same way, by the older partner's age at 31 December 2026, our Retirement Income Account and lifetime annuity customers sit as below. A pension whose member died before 31 December with a reversionary beneficiary nominated is counted with the survivor, to whom it continued; a partner who is not our client is placed from the date of birth on the member's nomination; a partner whose death in 2026 the annuity system recorded is not counted, though the register still holds them; and a member with two pensions is counted once, the extract printing the member's balance and payment on each of them. A former partner still named on an annuity is not paid while the annuitant lives.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Age group</w:t>
            </w:r>
          </w:p>
        </w:tc>
        <w:tc>
          <w:tcPr>
            <w:tcW w:type="dxa" w:w="1440"/>
          </w:tcPr>
          <w:p>
            <w:r>
              <w:t>Households with a pension</w:t>
            </w:r>
          </w:p>
        </w:tc>
        <w:tc>
          <w:tcPr>
            <w:tcW w:type="dxa" w:w="1440"/>
          </w:tcPr>
          <w:p>
            <w:r>
              <w:t>Pension balances</w:t>
            </w:r>
          </w:p>
        </w:tc>
        <w:tc>
          <w:tcPr>
            <w:tcW w:type="dxa" w:w="1440"/>
          </w:tcPr>
          <w:p>
            <w:r>
              <w:t>Payments set for 2026-27</w:t>
            </w:r>
          </w:p>
        </w:tc>
        <w:tc>
          <w:tcPr>
            <w:tcW w:type="dxa" w:w="1440"/>
          </w:tcPr>
          <w:p>
            <w:r>
              <w:t>Households with an annuity in payment</w:t>
            </w:r>
          </w:p>
        </w:tc>
        <w:tc>
          <w:tcPr>
            <w:tcW w:type="dxa" w:w="1440"/>
          </w:tcPr>
          <w:p>
            <w:r>
              <w:t>Annuity income a year</w:t>
            </w:r>
          </w:p>
        </w:tc>
      </w:tr>
      <w:tr>
        <w:tc>
          <w:tcPr>
            <w:tcW w:type="dxa" w:w="1440"/>
          </w:tcPr>
          <w:p>
            <w:r>
              <w:t>55 to 64</w:t>
            </w:r>
          </w:p>
        </w:tc>
        <w:tc>
          <w:tcPr>
            <w:tcW w:type="dxa" w:w="1440"/>
          </w:tcPr>
          <w:p>
            <w:pPr>
              <w:jc w:val="right"/>
            </w:pPr>
            <w:r>
              <w:t>445</w:t>
            </w:r>
          </w:p>
        </w:tc>
        <w:tc>
          <w:tcPr>
            <w:tcW w:type="dxa" w:w="1440"/>
          </w:tcPr>
          <w:p>
            <w:pPr>
              <w:jc w:val="right"/>
            </w:pPr>
            <w:r>
              <w:t>$210,509,000</w:t>
            </w:r>
          </w:p>
        </w:tc>
        <w:tc>
          <w:tcPr>
            <w:tcW w:type="dxa" w:w="1440"/>
          </w:tcPr>
          <w:p>
            <w:pPr>
              <w:jc w:val="right"/>
            </w:pPr>
            <w:r>
              <w:t>$11,589,000</w:t>
            </w:r>
          </w:p>
        </w:tc>
        <w:tc>
          <w:tcPr>
            <w:tcW w:type="dxa" w:w="1440"/>
          </w:tcPr>
          <w:p>
            <w:pPr>
              <w:jc w:val="right"/>
            </w:pPr>
            <w:r>
              <w:t>179</w:t>
            </w:r>
          </w:p>
        </w:tc>
        <w:tc>
          <w:tcPr>
            <w:tcW w:type="dxa" w:w="1440"/>
          </w:tcPr>
          <w:p>
            <w:pPr>
              <w:jc w:val="right"/>
            </w:pPr>
            <w:r>
              <w:t>$3,653,000</w:t>
            </w:r>
          </w:p>
        </w:tc>
      </w:tr>
      <w:tr>
        <w:tc>
          <w:tcPr>
            <w:tcW w:type="dxa" w:w="1440"/>
          </w:tcPr>
          <w:p>
            <w:r>
              <w:t>65 to 74</w:t>
            </w:r>
          </w:p>
        </w:tc>
        <w:tc>
          <w:tcPr>
            <w:tcW w:type="dxa" w:w="1440"/>
          </w:tcPr>
          <w:p>
            <w:pPr>
              <w:jc w:val="right"/>
            </w:pPr>
            <w:r>
              <w:t>1,169</w:t>
            </w:r>
          </w:p>
        </w:tc>
        <w:tc>
          <w:tcPr>
            <w:tcW w:type="dxa" w:w="1440"/>
          </w:tcPr>
          <w:p>
            <w:pPr>
              <w:jc w:val="right"/>
            </w:pPr>
            <w:r>
              <w:t>$521,126,000</w:t>
            </w:r>
          </w:p>
        </w:tc>
        <w:tc>
          <w:tcPr>
            <w:tcW w:type="dxa" w:w="1440"/>
          </w:tcPr>
          <w:p>
            <w:pPr>
              <w:jc w:val="right"/>
            </w:pPr>
            <w:r>
              <w:t>$30,350,000</w:t>
            </w:r>
          </w:p>
        </w:tc>
        <w:tc>
          <w:tcPr>
            <w:tcW w:type="dxa" w:w="1440"/>
          </w:tcPr>
          <w:p>
            <w:pPr>
              <w:jc w:val="right"/>
            </w:pPr>
            <w:r>
              <w:t>468</w:t>
            </w:r>
          </w:p>
        </w:tc>
        <w:tc>
          <w:tcPr>
            <w:tcW w:type="dxa" w:w="1440"/>
          </w:tcPr>
          <w:p>
            <w:pPr>
              <w:jc w:val="right"/>
            </w:pPr>
            <w:r>
              <w:t>$9,041,000</w:t>
            </w:r>
          </w:p>
        </w:tc>
      </w:tr>
      <w:tr>
        <w:tc>
          <w:tcPr>
            <w:tcW w:type="dxa" w:w="1440"/>
          </w:tcPr>
          <w:p>
            <w:r>
              <w:t>75 and over</w:t>
            </w:r>
          </w:p>
        </w:tc>
        <w:tc>
          <w:tcPr>
            <w:tcW w:type="dxa" w:w="1440"/>
          </w:tcPr>
          <w:p>
            <w:pPr>
              <w:jc w:val="right"/>
            </w:pPr>
            <w:r>
              <w:t>742</w:t>
            </w:r>
          </w:p>
        </w:tc>
        <w:tc>
          <w:tcPr>
            <w:tcW w:type="dxa" w:w="1440"/>
          </w:tcPr>
          <w:p>
            <w:pPr>
              <w:jc w:val="right"/>
            </w:pPr>
            <w:r>
              <w:t>$249,685,000</w:t>
            </w:r>
          </w:p>
        </w:tc>
        <w:tc>
          <w:tcPr>
            <w:tcW w:type="dxa" w:w="1440"/>
          </w:tcPr>
          <w:p>
            <w:pPr>
              <w:jc w:val="right"/>
            </w:pPr>
            <w:r>
              <w:t>$18,003,000</w:t>
            </w:r>
          </w:p>
        </w:tc>
        <w:tc>
          <w:tcPr>
            <w:tcW w:type="dxa" w:w="1440"/>
          </w:tcPr>
          <w:p>
            <w:pPr>
              <w:jc w:val="right"/>
            </w:pPr>
            <w:r>
              <w:t>280</w:t>
            </w:r>
          </w:p>
        </w:tc>
        <w:tc>
          <w:tcPr>
            <w:tcW w:type="dxa" w:w="1440"/>
          </w:tcPr>
          <w:p>
            <w:pPr>
              <w:jc w:val="right"/>
            </w:pPr>
            <w:r>
              <w:t>$5,510,000</w:t>
            </w:r>
          </w:p>
        </w:tc>
      </w:tr>
    </w:tbl>
    <w:p>
      <w:pPr>
        <w:spacing w:after="100"/>
      </w:pPr>
      <w:r>
        <w:rPr>
          <w:sz w:val="16"/>
        </w:rPr>
        <w:t>Sources: client register and annuity valuation listing (pulled 12 January 2027), Retirement Income Account extract and nominations (31 December 2026). Annuity income is the annual rate being paid at 31 December 2026, before the January anniversary increases; deferred annuities not yet paying are left out.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D"/>
        <w:sz w:val="16"/>
      </w:rPr>
      <w:t>Kelvane Life | Retirement Product Committee, 27 January 2027 | Paper RPC-2027-03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Kelvane Life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Insights and Analytics</dc:creator>
  <cp:lastModifiedBy>Insights and Analytics</cp:lastModifiedBy>
  <dcterms:created xsi:type="dcterms:W3CDTF">2027-01-15T22:12:31Z</dcterms:created>
  <dcterms:modified xsi:type="dcterms:W3CDTF">2027-01-20T05:44:02Z</dcterms:modified>
</cp:coreProperties>
</file>