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color w:val="23395B"/>
          <w:sz w:val="17"/>
        </w:rPr>
        <w:t>WENMARSH REGIONAL HEALTH BOARD</w:t>
      </w:r>
    </w:p>
    <w:p>
      <w:pPr>
        <w:spacing w:after="0"/>
      </w:pPr>
      <w:r>
        <w:rPr>
          <w:b w:val="0"/>
          <w:i w:val="0"/>
          <w:color w:val="595959"/>
          <w:sz w:val="17"/>
        </w:rPr>
        <w:t>Board meeting, 26 November 2026. For decision.</w:t>
      </w:r>
    </w:p>
    <w:p>
      <w:pPr>
        <w:spacing w:after="200"/>
      </w:pPr>
      <w:r>
        <w:rPr>
          <w:b w:val="0"/>
          <w:i w:val="0"/>
          <w:color w:val="595959"/>
          <w:sz w:val="17"/>
        </w:rPr>
        <w:t>From: Andrea Davey, Head of Quality Surveillance. 2 October 2026.</w:t>
      </w:r>
    </w:p>
    <w:p>
      <w:pPr>
        <w:spacing w:after="160"/>
      </w:pPr>
      <w:r>
        <w:rPr>
          <w:b/>
          <w:i w:val="0"/>
          <w:sz w:val="28"/>
        </w:rPr>
        <w:t>External review of deaths after delayed escalation to critical care, 2027-28: place the review at Stennock</w:t>
      </w:r>
    </w:p>
    <w:p>
      <w:pPr>
        <w:spacing w:after="120"/>
      </w:pPr>
      <w:r>
        <w:rPr>
          <w:b w:val="0"/>
          <w:sz w:val="22"/>
        </w:rPr>
        <w:t xml:space="preserve">The Board is asked to place the 2027-28 external review at </w:t>
      </w:r>
      <w:r>
        <w:rPr>
          <w:b/>
          <w:sz w:val="22"/>
        </w:rPr>
        <w:t>Stennock</w:t>
      </w:r>
      <w:r>
        <w:rPr>
          <w:b w:val="0"/>
          <w:sz w:val="22"/>
        </w:rPr>
        <w:t>.</w:t>
      </w:r>
    </w:p>
    <w:p>
      <w:pPr>
        <w:spacing w:after="120"/>
      </w:pPr>
      <w:r>
        <w:rPr>
          <w:b w:val="0"/>
          <w:sz w:val="20"/>
        </w:rPr>
        <w:t xml:space="preserve">A year of review at Stennock could confirm </w:t>
      </w:r>
      <w:r>
        <w:rPr>
          <w:b/>
          <w:sz w:val="20"/>
        </w:rPr>
        <w:t>27 deaths</w:t>
      </w:r>
      <w:r>
        <w:rPr>
          <w:b w:val="0"/>
          <w:sz w:val="20"/>
        </w:rPr>
        <w:t xml:space="preserve"> as avoidable in the trust's own care. The trust that comes closest is Prideswick, at 15, so Stennock leads by </w:t>
      </w:r>
      <w:r>
        <w:rPr>
          <w:b/>
          <w:sz w:val="20"/>
        </w:rPr>
        <w:t>12 deaths</w:t>
      </w:r>
      <w:r>
        <w:rPr>
          <w:b w:val="0"/>
          <w:sz w:val="20"/>
        </w:rPr>
        <w:t>.</w:t>
      </w:r>
    </w:p>
    <w:p>
      <w:pPr>
        <w:spacing w:after="120"/>
      </w:pPr>
      <w:r>
        <w:rPr>
          <w:b w:val="0"/>
          <w:i w:val="0"/>
          <w:sz w:val="20"/>
        </w:rPr>
        <w:t>The engagement is judged on the deaths its reviewers confirm as avoidable because of problems in the reviewed trust's own care (WRHB/26/097, section 3). Section 4 sets the test: a death counts where, at any time while the patient waited, the trust's own level 3 unit had a staffed bed with no patient in it that was the trust's to use, or admitted another of the trust's own patients. A bed the network bed bureau has allocated to a transfer is the network's to use. The placement rests on the latest four complete quarters, July 2025 to June 2026 (section 5).</w:t>
      </w:r>
    </w:p>
    <w:p>
      <w:pPr>
        <w:spacing w:after="80" w:before="200"/>
      </w:pPr>
      <w:r>
        <w:rPr>
          <w:b/>
          <w:i w:val="0"/>
          <w:color w:val="23395B"/>
          <w:sz w:val="22"/>
        </w:rPr>
        <w:t>Why Stennock</w:t>
      </w:r>
    </w:p>
    <w:p>
      <w:pPr>
        <w:spacing w:after="120"/>
      </w:pPr>
      <w:r>
        <w:rPr>
          <w:b w:val="0"/>
          <w:sz w:val="20"/>
        </w:rPr>
        <w:t>In the placement year 92 Stennock patients waited more than four hours for a level 3 bed and 27 of them died within 30 days of the decision to admit.</w:t>
      </w:r>
      <w:r>
        <w:rPr>
          <w:b w:val="0"/>
          <w:sz w:val="20"/>
          <w:vertAlign w:val="superscript"/>
        </w:rPr>
        <w:t>1</w:t>
      </w:r>
      <w:r>
        <w:rPr>
          <w:b w:val="0"/>
          <w:sz w:val="20"/>
        </w:rPr>
        <w:t xml:space="preserve"> By the unit feed Stennock's unit was full at every minute of every one of those waits, which is consistent with the network's view that it is full every morning. The feed counts a bed as taken from the minute it is assigned, and on each of the 92 waits one or two of the beds counted as taken had been assigned earlier that day to Stennock's own planned surgical patients. The regional theatre extract shows that none of those patients had left recovery at the Stennock Treatment Centre when the waiting patient's decision was made; each left during the wait. At weekends, with no lists running, no Stennock referral waited more than four hours.</w:t>
      </w:r>
    </w:p>
    <w:p>
      <w:pPr>
        <w:spacing w:after="120"/>
      </w:pPr>
      <w:r>
        <w:rPr>
          <w:b w:val="0"/>
          <w:i w:val="0"/>
          <w:sz w:val="20"/>
        </w:rPr>
        <w:t>Those beds were staffed and had no patient in them, and with no bed bureau allocation involved they were Stennock's to use. Stennock was keeping them for its own elective patients while its own emergency patient waited. Under the section 4 test every one of those 27 deaths therefore falls inside Stennock's own care, and they are the deaths a review can examine and confirm.</w:t>
      </w:r>
    </w:p>
    <w:p>
      <w:pPr>
        <w:spacing w:after="120"/>
      </w:pPr>
      <w:r>
        <w:rPr>
          <w:b w:val="0"/>
          <w:i w:val="0"/>
          <w:sz w:val="20"/>
        </w:rPr>
        <w:t>The pattern is not a one-year effect. Across the network's record Stennock has the most confirmable deaths in each four-quarter year (25, 28 and 27, against Prideswick's 14, 17 and 15), so the latest year is a fair guide to 2027-28.</w:t>
      </w:r>
    </w:p>
    <w:p>
      <w:pPr>
        <w:spacing w:after="80" w:before="200"/>
      </w:pPr>
      <w:r>
        <w:rPr>
          <w:b/>
          <w:i w:val="0"/>
          <w:color w:val="23395B"/>
          <w:sz w:val="22"/>
        </w:rPr>
        <w:t>Why not the others</w:t>
      </w:r>
    </w:p>
    <w:p>
      <w:pPr>
        <w:spacing w:after="120"/>
      </w:pPr>
      <w:r>
        <w:rPr>
          <w:b w:val="0"/>
          <w:i w:val="0"/>
          <w:sz w:val="20"/>
        </w:rPr>
        <w:t>The Chair's starting point, sending the reviewers to wherever the most patients die waiting, points to Lathingbury, which has the most deaths inside the remit (56 of 213). Lathingbury runs no level 3 beds, so each of its patients was waiting for another trust's bed, and a review there would confirm none of them as Lathingbury's own care. The programme screen Sharon Banks will present counts referrals waiting from receipt and is not the measure the engagement is judged on.</w:t>
      </w:r>
    </w:p>
    <w:tbl>
      <w:tblPr>
        <w:tblStyle w:val="TableGrid"/>
        <w:tblW w:type="auto" w:w="0"/>
        <w:tblLayout w:type="fixed"/>
        <w:tblLook w:firstColumn="1" w:firstRow="1" w:lastColumn="0" w:lastRow="0" w:noHBand="0" w:noVBand="1" w:val="04A0"/>
      </w:tblPr>
      <w:tblGrid>
        <w:gridCol w:w="1474"/>
        <w:gridCol w:w="1304"/>
        <w:gridCol w:w="1474"/>
        <w:gridCol w:w="5046"/>
      </w:tblGrid>
      <w:tr>
        <w:tc>
          <w:tcPr>
            <w:tcW w:type="dxa" w:w="1474"/>
            <w:shd w:val="clear" w:color="auto" w:fill="23395B"/>
          </w:tcPr>
          <w:p>
            <w:r/>
            <w:r>
              <w:rPr>
                <w:b/>
                <w:color w:val="FFFFFF"/>
                <w:sz w:val="17"/>
              </w:rPr>
              <w:t>Trust</w:t>
            </w:r>
          </w:p>
        </w:tc>
        <w:tc>
          <w:tcPr>
            <w:tcW w:type="dxa" w:w="1304"/>
            <w:shd w:val="clear" w:color="auto" w:fill="23395B"/>
          </w:tcPr>
          <w:p>
            <w:r/>
            <w:r>
              <w:rPr>
                <w:b/>
                <w:color w:val="FFFFFF"/>
                <w:sz w:val="17"/>
              </w:rPr>
              <w:t>Deaths inside the remit</w:t>
            </w:r>
          </w:p>
        </w:tc>
        <w:tc>
          <w:tcPr>
            <w:tcW w:type="dxa" w:w="1474"/>
            <w:shd w:val="clear" w:color="auto" w:fill="23395B"/>
          </w:tcPr>
          <w:p>
            <w:r/>
            <w:r>
              <w:rPr>
                <w:b/>
                <w:color w:val="FFFFFF"/>
                <w:sz w:val="17"/>
              </w:rPr>
              <w:t>Confirmable in own care</w:t>
            </w:r>
          </w:p>
        </w:tc>
        <w:tc>
          <w:tcPr>
            <w:tcW w:type="dxa" w:w="5046"/>
            <w:shd w:val="clear" w:color="auto" w:fill="23395B"/>
          </w:tcPr>
          <w:p>
            <w:r/>
            <w:r>
              <w:rPr>
                <w:b/>
                <w:color w:val="FFFFFF"/>
                <w:sz w:val="17"/>
              </w:rPr>
              <w:t>What held the waits</w:t>
            </w:r>
          </w:p>
        </w:tc>
      </w:tr>
      <w:tr>
        <w:tc>
          <w:tcPr>
            <w:tcW w:type="dxa" w:w="1474"/>
            <w:shd w:val="clear" w:color="auto" w:fill="E8F0FA"/>
          </w:tcPr>
          <w:p>
            <w:r/>
            <w:r>
              <w:rPr>
                <w:b/>
                <w:sz w:val="17"/>
              </w:rPr>
              <w:t>Stennock</w:t>
            </w:r>
          </w:p>
        </w:tc>
        <w:tc>
          <w:tcPr>
            <w:tcW w:type="dxa" w:w="1304"/>
            <w:shd w:val="clear" w:color="auto" w:fill="E8F0FA"/>
          </w:tcPr>
          <w:p>
            <w:pPr>
              <w:jc w:val="right"/>
            </w:pPr>
            <w:r/>
            <w:r>
              <w:rPr>
                <w:b/>
                <w:sz w:val="17"/>
              </w:rPr>
              <w:t>27</w:t>
            </w:r>
          </w:p>
        </w:tc>
        <w:tc>
          <w:tcPr>
            <w:tcW w:type="dxa" w:w="1474"/>
            <w:shd w:val="clear" w:color="auto" w:fill="E8F0FA"/>
          </w:tcPr>
          <w:p>
            <w:pPr>
              <w:jc w:val="right"/>
            </w:pPr>
            <w:r/>
            <w:r>
              <w:rPr>
                <w:b/>
                <w:sz w:val="17"/>
              </w:rPr>
              <w:t>27</w:t>
            </w:r>
          </w:p>
        </w:tc>
        <w:tc>
          <w:tcPr>
            <w:tcW w:type="dxa" w:w="5046"/>
            <w:shd w:val="clear" w:color="auto" w:fill="E8F0FA"/>
          </w:tcPr>
          <w:p>
            <w:r/>
            <w:r>
              <w:rPr>
                <w:b w:val="0"/>
                <w:sz w:val="17"/>
              </w:rPr>
              <w:t>Staffed beds with no patient in them when each wait began, kept for Stennock's planned surgical patients still in theatre recovery</w:t>
            </w:r>
          </w:p>
        </w:tc>
      </w:tr>
      <w:tr>
        <w:tc>
          <w:tcPr>
            <w:tcW w:type="dxa" w:w="1474"/>
          </w:tcPr>
          <w:p>
            <w:r/>
            <w:r>
              <w:rPr>
                <w:b w:val="0"/>
                <w:sz w:val="17"/>
              </w:rPr>
              <w:t>Prideswick</w:t>
            </w:r>
          </w:p>
        </w:tc>
        <w:tc>
          <w:tcPr>
            <w:tcW w:type="dxa" w:w="1304"/>
          </w:tcPr>
          <w:p>
            <w:pPr>
              <w:jc w:val="right"/>
            </w:pPr>
            <w:r/>
            <w:r>
              <w:rPr>
                <w:b w:val="0"/>
                <w:sz w:val="17"/>
              </w:rPr>
              <w:t>21</w:t>
            </w:r>
          </w:p>
        </w:tc>
        <w:tc>
          <w:tcPr>
            <w:tcW w:type="dxa" w:w="1474"/>
          </w:tcPr>
          <w:p>
            <w:pPr>
              <w:jc w:val="right"/>
            </w:pPr>
            <w:r/>
            <w:r>
              <w:rPr>
                <w:b w:val="0"/>
                <w:sz w:val="17"/>
              </w:rPr>
              <w:t>15</w:t>
            </w:r>
          </w:p>
        </w:tc>
        <w:tc>
          <w:tcPr>
            <w:tcW w:type="dxa" w:w="5046"/>
          </w:tcPr>
          <w:p>
            <w:r/>
            <w:r>
              <w:rPr>
                <w:b w:val="0"/>
                <w:sz w:val="17"/>
              </w:rPr>
              <w:t>15 after waits beside its own empty staffed beds; 2 after waits through which its full unit took transfers the bed bureau placed; 4 with the unit full and no admission</w:t>
            </w:r>
          </w:p>
        </w:tc>
      </w:tr>
      <w:tr>
        <w:tc>
          <w:tcPr>
            <w:tcW w:type="dxa" w:w="1474"/>
          </w:tcPr>
          <w:p>
            <w:r/>
            <w:r>
              <w:rPr>
                <w:b w:val="0"/>
                <w:sz w:val="17"/>
              </w:rPr>
              <w:t>Ristenholm</w:t>
            </w:r>
          </w:p>
        </w:tc>
        <w:tc>
          <w:tcPr>
            <w:tcW w:type="dxa" w:w="1304"/>
          </w:tcPr>
          <w:p>
            <w:pPr>
              <w:jc w:val="right"/>
            </w:pPr>
            <w:r/>
            <w:r>
              <w:rPr>
                <w:b w:val="0"/>
                <w:sz w:val="17"/>
              </w:rPr>
              <w:t>44</w:t>
            </w:r>
          </w:p>
        </w:tc>
        <w:tc>
          <w:tcPr>
            <w:tcW w:type="dxa" w:w="1474"/>
          </w:tcPr>
          <w:p>
            <w:pPr>
              <w:jc w:val="right"/>
            </w:pPr>
            <w:r/>
            <w:r>
              <w:rPr>
                <w:b w:val="0"/>
                <w:sz w:val="17"/>
              </w:rPr>
              <w:t>2</w:t>
            </w:r>
          </w:p>
        </w:tc>
        <w:tc>
          <w:tcPr>
            <w:tcW w:type="dxa" w:w="5046"/>
          </w:tcPr>
          <w:p>
            <w:r/>
            <w:r>
              <w:rPr>
                <w:b w:val="0"/>
                <w:sz w:val="17"/>
              </w:rPr>
              <w:t>35 after waits through which its full unit took transfers the bed bureau placed; 7 with the unit full and no admission; 2 beside an empty staffed bed</w:t>
            </w:r>
          </w:p>
        </w:tc>
      </w:tr>
      <w:tr>
        <w:tc>
          <w:tcPr>
            <w:tcW w:type="dxa" w:w="1474"/>
          </w:tcPr>
          <w:p>
            <w:r/>
            <w:r>
              <w:rPr>
                <w:b w:val="0"/>
                <w:sz w:val="17"/>
              </w:rPr>
              <w:t>Lathingbury</w:t>
            </w:r>
          </w:p>
        </w:tc>
        <w:tc>
          <w:tcPr>
            <w:tcW w:type="dxa" w:w="1304"/>
          </w:tcPr>
          <w:p>
            <w:pPr>
              <w:jc w:val="right"/>
            </w:pPr>
            <w:r/>
            <w:r>
              <w:rPr>
                <w:b w:val="0"/>
                <w:sz w:val="17"/>
              </w:rPr>
              <w:t>56</w:t>
            </w:r>
          </w:p>
        </w:tc>
        <w:tc>
          <w:tcPr>
            <w:tcW w:type="dxa" w:w="1474"/>
          </w:tcPr>
          <w:p>
            <w:pPr>
              <w:jc w:val="right"/>
            </w:pPr>
            <w:r/>
            <w:r>
              <w:rPr>
                <w:b w:val="0"/>
                <w:sz w:val="17"/>
              </w:rPr>
              <w:t>0</w:t>
            </w:r>
          </w:p>
        </w:tc>
        <w:tc>
          <w:tcPr>
            <w:tcW w:type="dxa" w:w="5046"/>
          </w:tcPr>
          <w:p>
            <w:r/>
            <w:r>
              <w:rPr>
                <w:b w:val="0"/>
                <w:sz w:val="17"/>
              </w:rPr>
              <w:t>No level 3 beds: every wait was for another trust's bed</w:t>
            </w:r>
          </w:p>
        </w:tc>
      </w:tr>
      <w:tr>
        <w:tc>
          <w:tcPr>
            <w:tcW w:type="dxa" w:w="1474"/>
          </w:tcPr>
          <w:p>
            <w:r/>
            <w:r>
              <w:rPr>
                <w:b w:val="0"/>
                <w:sz w:val="17"/>
              </w:rPr>
              <w:t>Brackenford</w:t>
            </w:r>
          </w:p>
        </w:tc>
        <w:tc>
          <w:tcPr>
            <w:tcW w:type="dxa" w:w="1304"/>
          </w:tcPr>
          <w:p>
            <w:pPr>
              <w:jc w:val="right"/>
            </w:pPr>
            <w:r/>
            <w:r>
              <w:rPr>
                <w:b w:val="0"/>
                <w:sz w:val="17"/>
              </w:rPr>
              <w:t>35</w:t>
            </w:r>
          </w:p>
        </w:tc>
        <w:tc>
          <w:tcPr>
            <w:tcW w:type="dxa" w:w="1474"/>
          </w:tcPr>
          <w:p>
            <w:pPr>
              <w:jc w:val="right"/>
            </w:pPr>
            <w:r/>
            <w:r>
              <w:rPr>
                <w:b w:val="0"/>
                <w:sz w:val="17"/>
              </w:rPr>
              <w:t>0</w:t>
            </w:r>
          </w:p>
        </w:tc>
        <w:tc>
          <w:tcPr>
            <w:tcW w:type="dxa" w:w="5046"/>
          </w:tcPr>
          <w:p>
            <w:r/>
            <w:r>
              <w:rPr>
                <w:b w:val="0"/>
                <w:sz w:val="17"/>
              </w:rPr>
              <w:t>Empty beds at 08:00 on most mornings, but full at every hour of each long wait, all of which began in the evening</w:t>
            </w:r>
          </w:p>
        </w:tc>
      </w:tr>
      <w:tr>
        <w:tc>
          <w:tcPr>
            <w:tcW w:type="dxa" w:w="1474"/>
          </w:tcPr>
          <w:p>
            <w:r/>
            <w:r>
              <w:rPr>
                <w:b w:val="0"/>
                <w:sz w:val="17"/>
              </w:rPr>
              <w:t>Ellerdyke</w:t>
            </w:r>
          </w:p>
        </w:tc>
        <w:tc>
          <w:tcPr>
            <w:tcW w:type="dxa" w:w="1304"/>
          </w:tcPr>
          <w:p>
            <w:pPr>
              <w:jc w:val="right"/>
            </w:pPr>
            <w:r/>
            <w:r>
              <w:rPr>
                <w:b w:val="0"/>
                <w:sz w:val="17"/>
              </w:rPr>
              <w:t>13</w:t>
            </w:r>
          </w:p>
        </w:tc>
        <w:tc>
          <w:tcPr>
            <w:tcW w:type="dxa" w:w="1474"/>
          </w:tcPr>
          <w:p>
            <w:pPr>
              <w:jc w:val="right"/>
            </w:pPr>
            <w:r/>
            <w:r>
              <w:rPr>
                <w:b w:val="0"/>
                <w:sz w:val="17"/>
              </w:rPr>
              <w:t>0</w:t>
            </w:r>
          </w:p>
        </w:tc>
        <w:tc>
          <w:tcPr>
            <w:tcW w:type="dxa" w:w="5046"/>
          </w:tcPr>
          <w:p>
            <w:r/>
            <w:r>
              <w:rPr>
                <w:b w:val="0"/>
                <w:sz w:val="17"/>
              </w:rPr>
              <w:t>No level 3 beds since April 2024</w:t>
            </w:r>
          </w:p>
        </w:tc>
      </w:tr>
      <w:tr>
        <w:tc>
          <w:tcPr>
            <w:tcW w:type="dxa" w:w="1474"/>
          </w:tcPr>
          <w:p>
            <w:r/>
            <w:r>
              <w:rPr>
                <w:b w:val="0"/>
                <w:sz w:val="17"/>
              </w:rPr>
              <w:t>Tannerby</w:t>
            </w:r>
          </w:p>
        </w:tc>
        <w:tc>
          <w:tcPr>
            <w:tcW w:type="dxa" w:w="1304"/>
          </w:tcPr>
          <w:p>
            <w:pPr>
              <w:jc w:val="right"/>
            </w:pPr>
            <w:r/>
            <w:r>
              <w:rPr>
                <w:b w:val="0"/>
                <w:sz w:val="17"/>
              </w:rPr>
              <w:t>10</w:t>
            </w:r>
          </w:p>
        </w:tc>
        <w:tc>
          <w:tcPr>
            <w:tcW w:type="dxa" w:w="1474"/>
          </w:tcPr>
          <w:p>
            <w:pPr>
              <w:jc w:val="right"/>
            </w:pPr>
            <w:r/>
            <w:r>
              <w:rPr>
                <w:b w:val="0"/>
                <w:sz w:val="17"/>
              </w:rPr>
              <w:t>0</w:t>
            </w:r>
          </w:p>
        </w:tc>
        <w:tc>
          <w:tcPr>
            <w:tcW w:type="dxa" w:w="5046"/>
          </w:tcPr>
          <w:p>
            <w:r/>
            <w:r>
              <w:rPr>
                <w:b w:val="0"/>
                <w:sz w:val="17"/>
              </w:rPr>
              <w:t>No level 3 beds</w:t>
            </w:r>
          </w:p>
        </w:tc>
      </w:tr>
      <w:tr>
        <w:tc>
          <w:tcPr>
            <w:tcW w:type="dxa" w:w="1474"/>
          </w:tcPr>
          <w:p>
            <w:r/>
            <w:r>
              <w:rPr>
                <w:b w:val="0"/>
                <w:sz w:val="17"/>
              </w:rPr>
              <w:t>Pellowham</w:t>
            </w:r>
          </w:p>
        </w:tc>
        <w:tc>
          <w:tcPr>
            <w:tcW w:type="dxa" w:w="1304"/>
          </w:tcPr>
          <w:p>
            <w:pPr>
              <w:jc w:val="right"/>
            </w:pPr>
            <w:r/>
            <w:r>
              <w:rPr>
                <w:b w:val="0"/>
                <w:sz w:val="17"/>
              </w:rPr>
              <w:t>7</w:t>
            </w:r>
          </w:p>
        </w:tc>
        <w:tc>
          <w:tcPr>
            <w:tcW w:type="dxa" w:w="1474"/>
          </w:tcPr>
          <w:p>
            <w:pPr>
              <w:jc w:val="right"/>
            </w:pPr>
            <w:r/>
            <w:r>
              <w:rPr>
                <w:b w:val="0"/>
                <w:sz w:val="17"/>
              </w:rPr>
              <w:t>0</w:t>
            </w:r>
          </w:p>
        </w:tc>
        <w:tc>
          <w:tcPr>
            <w:tcW w:type="dxa" w:w="5046"/>
          </w:tcPr>
          <w:p>
            <w:r/>
            <w:r>
              <w:rPr>
                <w:b w:val="0"/>
                <w:sz w:val="17"/>
              </w:rPr>
              <w:t>No level 3 beds since the winter beds closed in March 2024</w:t>
            </w:r>
          </w:p>
        </w:tc>
      </w:tr>
      <w:tr>
        <w:tc>
          <w:tcPr>
            <w:tcW w:type="dxa" w:w="1474"/>
          </w:tcPr>
          <w:p>
            <w:r/>
            <w:r>
              <w:rPr>
                <w:b/>
                <w:sz w:val="17"/>
              </w:rPr>
              <w:t>All eight trusts</w:t>
            </w:r>
          </w:p>
        </w:tc>
        <w:tc>
          <w:tcPr>
            <w:tcW w:type="dxa" w:w="1304"/>
          </w:tcPr>
          <w:p>
            <w:pPr>
              <w:jc w:val="right"/>
            </w:pPr>
            <w:r/>
            <w:r>
              <w:rPr>
                <w:b/>
                <w:sz w:val="17"/>
              </w:rPr>
              <w:t>213</w:t>
            </w:r>
          </w:p>
        </w:tc>
        <w:tc>
          <w:tcPr>
            <w:tcW w:type="dxa" w:w="1474"/>
          </w:tcPr>
          <w:p>
            <w:pPr>
              <w:jc w:val="right"/>
            </w:pPr>
            <w:r/>
            <w:r>
              <w:rPr>
                <w:b/>
                <w:sz w:val="17"/>
              </w:rPr>
              <w:t>44</w:t>
            </w:r>
          </w:p>
        </w:tc>
        <w:tc>
          <w:tcPr>
            <w:tcW w:type="dxa" w:w="5046"/>
          </w:tcPr>
          <w:p>
            <w:r/>
            <w:r>
              <w:rPr>
                <w:b/>
                <w:sz w:val="17"/>
              </w:rPr>
            </w:r>
          </w:p>
        </w:tc>
      </w:tr>
    </w:tbl>
    <w:p>
      <w:pPr>
        <w:spacing w:after="160"/>
      </w:pPr>
      <w:r>
        <w:rPr>
          <w:b w:val="0"/>
          <w:i/>
          <w:color w:val="595959"/>
          <w:sz w:val="15"/>
        </w:rPr>
        <w:t>Placement year, July 2025 to June 2026. Source: network referral record, unit feed, daily bed returns and transfer audit; regional data service episodes and theatre cases.</w:t>
      </w:r>
    </w:p>
    <w:p>
      <w:pPr>
        <w:spacing w:after="120"/>
      </w:pPr>
      <w:r>
        <w:rPr>
          <w:b w:val="0"/>
          <w:i w:val="0"/>
          <w:sz w:val="20"/>
        </w:rPr>
        <w:t>Prideswick is the real alternative. Its unit still holds weekend admissions until the on-call consultant intensivist has seen the patient on site, and 15 of its patients died after waiting beside its own empty staffed beds. That is a smaller yield than Stennock's, 12 deaths fewer, and the Board can raise the weekend rule with Prideswick through the network without a twelve-month review.</w:t>
      </w:r>
    </w:p>
    <w:p>
      <w:pPr>
        <w:spacing w:after="120"/>
      </w:pPr>
      <w:r>
        <w:rPr>
          <w:b w:val="0"/>
          <w:i w:val="0"/>
          <w:sz w:val="20"/>
        </w:rPr>
        <w:t>Ristenholm's unit gave beds to other patients during the waits behind 35 of its 44 deaths in the placement year, many of them planned transfers, which can read as Ristenholm putting other patients first. Every one of those patients was referred by a trust without level 3 beds and placed on a bed the network's bed bureau allocated, which section 4 makes the network's to use rather than Ristenholm's, so those waits are network capacity and not Ristenholm's own care. Brackenford's morning returns show empty beds most days, which is what the network manager has in mind, but the test looks at the beds while each patient waited, and its unit was full at every hour of each of its long waits, all of which began in the evening.</w:t>
      </w:r>
    </w:p>
    <w:p>
      <w:pPr>
        <w:spacing w:after="80" w:before="200"/>
      </w:pPr>
      <w:r>
        <w:rPr>
          <w:b/>
          <w:i w:val="0"/>
          <w:color w:val="23395B"/>
          <w:sz w:val="22"/>
        </w:rPr>
        <w:t>The record behind the placement</w:t>
      </w:r>
    </w:p>
    <w:p>
      <w:pPr>
        <w:spacing w:after="120"/>
      </w:pPr>
      <w:r>
        <w:rPr>
          <w:b w:val="0"/>
          <w:i w:val="0"/>
          <w:sz w:val="20"/>
        </w:rPr>
        <w:t>Across the network's whole record, July 2023 to June 2026, 2,163 patients waited inside the remit and 629 died; the reviewers could have confirmed 148 of those deaths, 80 of them at Stennock. The figures by trust are in review_placement_workings.xlsx.</w:t>
      </w:r>
    </w:p>
    <w:p>
      <w:pPr>
        <w:jc w:val="center"/>
      </w:pPr>
      <w:r>
        <w:drawing>
          <wp:inline xmlns:a="http://schemas.openxmlformats.org/drawingml/2006/main" xmlns:pic="http://schemas.openxmlformats.org/drawingml/2006/picture">
            <wp:extent cx="5832000" cy="3546486"/>
            <wp:docPr id="1" name="Picture 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5832000" cy="3546486"/>
                    </a:xfrm>
                    <a:prstGeom prst="rect"/>
                  </pic:spPr>
                </pic:pic>
              </a:graphicData>
            </a:graphic>
          </wp:inline>
        </w:drawing>
      </w:r>
    </w:p>
    <w:p>
      <w:pPr>
        <w:spacing w:after="80" w:before="200"/>
      </w:pPr>
      <w:r>
        <w:rPr>
          <w:b/>
          <w:i w:val="0"/>
          <w:color w:val="23395B"/>
          <w:sz w:val="22"/>
        </w:rPr>
        <w:t>Recommendation</w:t>
      </w:r>
    </w:p>
    <w:p>
      <w:pPr>
        <w:spacing w:after="200"/>
      </w:pPr>
      <w:r>
        <w:rPr>
          <w:b w:val="0"/>
          <w:i w:val="0"/>
          <w:sz w:val="20"/>
        </w:rPr>
        <w:t>That the Board places the 2027-28 external review at Stennock, and informs the eight trusts in December 2026 as the terms of reference set out.</w:t>
      </w:r>
    </w:p>
    <w:p>
      <w:pPr>
        <w:spacing w:after="0"/>
      </w:pPr>
      <w:r>
        <w:rPr>
          <w:b w:val="0"/>
          <w:color w:val="595959"/>
          <w:sz w:val="15"/>
          <w:vertAlign w:val="superscript"/>
        </w:rPr>
        <w:t>1</w:t>
      </w:r>
      <w:r>
        <w:rPr>
          <w:b w:val="0"/>
          <w:color w:val="595959"/>
          <w:sz w:val="15"/>
        </w:rPr>
        <w:t xml:space="preserve"> Deaths are counted from the linked date of death on the regional data service episodes, within 30 days of the decision to admit. Death registrations reach the service within 14 days and the extract was taken on 14 August 2026, so the placement year is complete. Each patient is counted once.</w:t>
      </w:r>
    </w:p>
    <w:sectPr w:rsidR="00FC693F" w:rsidRPr="0006063C" w:rsidSect="00034616">
      <w:footerReference w:type="default" r:id="rId9"/>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95959"/>
        <w:sz w:val="15"/>
      </w:rPr>
      <w:t xml:space="preserve">Wenmarsh Regional Health Board | Board, 26 November 2026 | Page </w:t>
    </w:r>
    <w:r>
      <w:rPr>
        <w:sz w:val="15"/>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External review placement 2027-28</dc:title>
  <dc:subject/>
  <dc:creator>Quality surveillance, Wenmarsh Regional Health Board</dc:creator>
  <cp:keywords/>
  <dc:description/>
  <cp:lastModifiedBy>Quality surveillance, Wenmarsh Regional Health Board</cp:lastModifiedBy>
  <cp:revision>1</cp:revision>
  <dcterms:created xsi:type="dcterms:W3CDTF">2026-10-02T09:00:00Z</dcterms:created>
  <dcterms:modified xsi:type="dcterms:W3CDTF">2026-10-02T09:00:00Z</dcterms:modified>
  <cp:category/>
</cp:coreProperties>
</file>