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2C965E" w14:textId="675EAE94" w:rsidR="00653ED7" w:rsidRDefault="00653ED7">
      <w:r>
        <w:rPr>
          <w:color w:val="5A6270"/>
          <w:sz w:val="18"/>
        </w:rPr>
        <w:t>Corvane Therapeutics | Clinical Pharmacology</w:t>
      </w:r>
    </w:p>
    <w:p w14:paraId="10E76C7B" w14:textId="30E4D6B1" w:rsidR="00D6C52A" w:rsidRDefault="00D6C52A">
      <w:r>
        <w:rPr>
          <w:b/>
          <w:sz w:val="28"/>
        </w:rPr>
        <w:t>Phase 3 induction dose for dovikizumab in ulcerative colitis: 300 mg IV at weeks 0, 4 and 8</w:t>
      </w:r>
    </w:p>
    <w:p w14:paraId="5E6901AE" w14:textId="624E75A7" w:rsidR="00CA37DD" w:rsidRDefault="00CA37DD">
      <w:r>
        <w:t>To: Clinical Development Committee   From: Head of Clinical Pharmacology   Date: October 2026   For: end-of-phase-2 briefing package, section 4.2 (due 4 December 2026)</w:t>
      </w:r>
    </w:p>
    <w:p w14:paraId="612709A4" w14:textId="4EE4FF2C" w:rsidR="00CA37DD" w:rsidRDefault="00CA37DD">
      <w:r>
        <w:t>We propose 300 mg. Under the dose-selection charter (CVN-CP-0142) the forecast week-12 clinical remission rate is 40.7 per cent at 300 mg, 40.9 per cent at 600 mg and 41.0 per cent at 900 mg; 300 mg sits 0.3 points under the highest forecast, inside the charter's 5 points, and is the lowest candidate there.</w:t>
      </w:r>
    </w:p>
    <w:p w14:paraId="3E597228" w14:textId="479D71C3" w:rsidR="00653ED7" w:rsidRDefault="00653ED7">
      <w:pPr>
        <w:pStyle w:val="Heading2"/>
      </w:pPr>
      <w:r>
        <w:t>Why the forecast rests on the week-4 pre-dose concentration</w:t>
      </w:r>
    </w:p>
    <w:p w14:paraId="1278C1F8" w14:textId="3E846262" w:rsidR="00653ED7" w:rsidRDefault="00653ED7">
      <w:r>
        <w:t>Phase 2b tested one dose, so the exposure-response comes from the spread of exposure within the 600 mg arm. Which concentration carries the dose's effect is the question that decides the forecast. At week 4, before most patients' colitis had begun to heal, remitters and non-remitters had the same concentrations (geometric mean ratio 1.02). By week 8 remitters ran 2.26 times higher and by week 12 3.12 times higher. Antibody clearance falls as the inflamed bowel heals, so the later concentrations are partly a result of remission rather than its cause: an exposure-response fitted to them is steep (300 mg about 30 per cent, 900 mg about 51) and would carry 900 mg, but the steepness is the healing, not the dose.</w:t>
      </w:r>
    </w:p>
    <w:p w14:paraId="002F85D2" w14:textId="7343B20D" w:rsidR="00CA37DD" w:rsidRDefault="00CA37DD">
      <w:r>
        <w:t>On the week-4 concentration, which the dose sets before healing can move it, week-12 remission is flat across the quartiles of exposure (43, 37, 39, 45 per cent), and every candidate dose sits on the plateau of the dose's effect. The forecast holds with or without the randomisation stratum and baseline weight and modified Mayo score in the model (300 mg 40.6 to 40.7 per cent).</w:t>
      </w:r>
    </w:p>
    <w:p w14:paraId="44B7FA16" w14:textId="50ECD24F" w:rsidR="005EDCC2" w:rsidRDefault="005EDCC2">
      <w:pPr>
        <w:pStyle w:val="Heading2"/>
      </w:pPr>
      <w:r>
        <w:t>Records and conventions</w:t>
      </w:r>
    </w:p>
    <w:p w14:paraId="66588966" w14:textId="28CAE839" w:rsidR="00207CA8" w:rsidRDefault="00207CA8">
      <w:r>
        <w:t>455 of the 480 dovikizumab patients have a valid week-4 pre-dose concentration; 15 week-4 samples drawn after the infusion had started were set aside under SAP 6.8 by comparing the laboratory's UTC collection time with the site's local infusion start. Remission is the database-lock flag (central adjudicated endoscopy, non-responder imputation). Safety, immunogenicity and e-diary summaries are in phase2b_induction_tables.xlsx.</w:t>
      </w:r>
    </w:p>
    <w:tbl>
      <w:tblPr>
        <w:tblStyle w:val="LightGrid-Accent1"/>
        <w:tblW w:type="auto" w:w="0"/>
        <w:tblLook w:firstColumn="1" w:firstRow="1" w:lastColumn="0" w:lastRow="0" w:noHBand="0" w:noVBand="1" w:val="04A0"/>
      </w:tblPr>
      <w:tblGrid>
        <w:gridCol w:w="2160"/>
        <w:gridCol w:w="2160"/>
        <w:gridCol w:w="2160"/>
        <w:gridCol w:w="2160"/>
      </w:tblGrid>
      <w:tr w14:paraId="7FA7AB55" w14:textId="2C5B02DD" w:rsidR="00CA37DD" w:rsidTr="00CA37DD">
        <w:tc>
          <w:tcPr>
            <w:tcW w:type="dxa" w:w="2160"/>
          </w:tcPr>
          <w:p w14:paraId="0F1DC805" w14:textId="02F07E34" w:rsidR="001BB140" w:rsidRDefault="001BB140">
            <w:r>
              <w:t>Regimen</w:t>
            </w:r>
          </w:p>
        </w:tc>
        <w:tc>
          <w:tcPr>
            <w:tcW w:type="dxa" w:w="2160"/>
          </w:tcPr>
          <w:p w14:paraId="5099F730" w14:textId="11639ED2" w:rsidR="00207CA8" w:rsidRDefault="00207CA8">
            <w:r>
              <w:t>Forecast remission</w:t>
            </w:r>
          </w:p>
        </w:tc>
        <w:tc>
          <w:tcPr>
            <w:tcW w:type="dxa" w:w="2160"/>
          </w:tcPr>
          <w:p w14:paraId="7A04E3C0" w14:textId="14D33EB2" w:rsidR="000287D2" w:rsidRDefault="000287D2">
            <w:r>
              <w:t>Below highest</w:t>
            </w:r>
          </w:p>
        </w:tc>
        <w:tc>
          <w:tcPr>
            <w:tcW w:type="dxa" w:w="2160"/>
          </w:tcPr>
          <w:p w14:paraId="010DEB65" w14:textId="7002117C" w:rsidR="005EDCC2" w:rsidRDefault="005EDCC2">
            <w:r>
              <w:t>Within 5 points</w:t>
            </w:r>
          </w:p>
        </w:tc>
      </w:tr>
      <w:tr w14:paraId="39066F95" w14:textId="03614F62" w:rsidR="00D6C52A" w:rsidTr="00D6C52A">
        <w:tc>
          <w:tcPr>
            <w:tcW w:type="dxa" w:w="2160"/>
          </w:tcPr>
          <w:p w14:paraId="62DF603C" w14:textId="6D0ABB8A" w:rsidR="000287D2" w:rsidRDefault="000287D2">
            <w:r>
              <w:t>300 mg</w:t>
            </w:r>
          </w:p>
        </w:tc>
        <w:tc>
          <w:tcPr>
            <w:tcW w:type="dxa" w:w="2160"/>
          </w:tcPr>
          <w:p w14:paraId="36027C1C" w14:textId="39E05C7F" w:rsidR="001BB140" w:rsidRDefault="001BB140">
            <w:r>
              <w:t>40.7%</w:t>
            </w:r>
          </w:p>
        </w:tc>
        <w:tc>
          <w:tcPr>
            <w:tcW w:type="dxa" w:w="2160"/>
          </w:tcPr>
          <w:p w14:paraId="455FAC6F" w14:textId="5FA23C91" w:rsidR="00D6C52A" w:rsidRDefault="00D6C52A">
            <w:r>
              <w:t>0.3</w:t>
            </w:r>
          </w:p>
        </w:tc>
        <w:tc>
          <w:tcPr>
            <w:tcW w:type="dxa" w:w="2160"/>
          </w:tcPr>
          <w:p w14:paraId="4687923F" w14:textId="71AAA32C" w:rsidR="000287D2" w:rsidRDefault="000287D2">
            <w:r>
              <w:t>yes</w:t>
            </w:r>
          </w:p>
        </w:tc>
      </w:tr>
      <w:tr w14:paraId="1B82CD46" w14:textId="651D11A9" w:rsidR="000287D2" w:rsidTr="000287D2">
        <w:tc>
          <w:tcPr>
            <w:tcW w:type="dxa" w:w="2160"/>
          </w:tcPr>
          <w:p w14:paraId="3C48EB51" w14:textId="70EE109C" w:rsidR="00207CA8" w:rsidRDefault="00207CA8">
            <w:r>
              <w:t>600 mg</w:t>
            </w:r>
          </w:p>
        </w:tc>
        <w:tc>
          <w:tcPr>
            <w:tcW w:type="dxa" w:w="2160"/>
          </w:tcPr>
          <w:p w14:paraId="2C087570" w14:textId="6E1EBC2A" w:rsidR="000287D2" w:rsidRDefault="000287D2">
            <w:r>
              <w:t>40.9%</w:t>
            </w:r>
          </w:p>
        </w:tc>
        <w:tc>
          <w:tcPr>
            <w:tcW w:type="dxa" w:w="2160"/>
          </w:tcPr>
          <w:p w14:paraId="709E6103" w14:textId="50521426" w:rsidR="005EDCC2" w:rsidRDefault="005EDCC2">
            <w:r>
              <w:t>0.1</w:t>
            </w:r>
          </w:p>
        </w:tc>
        <w:tc>
          <w:tcPr>
            <w:tcW w:type="dxa" w:w="2160"/>
          </w:tcPr>
          <w:p w14:paraId="34A62529" w14:textId="5E6424FD" w:rsidR="005EDCC2" w:rsidRDefault="005EDCC2">
            <w:r>
              <w:t>yes</w:t>
            </w:r>
          </w:p>
        </w:tc>
      </w:tr>
      <w:tr w14:paraId="7C2F3DCB" w14:textId="0F77196D" w:rsidR="003D6B5F" w:rsidTr="003D6B5F">
        <w:tc>
          <w:tcPr>
            <w:tcW w:type="dxa" w:w="2160"/>
          </w:tcPr>
          <w:p w14:paraId="7E607C31" w14:textId="0FF2A455" w:rsidR="00CA37DD" w:rsidRDefault="00CA37DD">
            <w:r>
              <w:t>900 mg</w:t>
            </w:r>
          </w:p>
        </w:tc>
        <w:tc>
          <w:tcPr>
            <w:tcW w:type="dxa" w:w="2160"/>
          </w:tcPr>
          <w:p w14:paraId="3B0C4DB0" w14:textId="2A5310A8" w:rsidR="005EDCC2" w:rsidRDefault="005EDCC2">
            <w:r>
              <w:t>41.0%</w:t>
            </w:r>
          </w:p>
        </w:tc>
        <w:tc>
          <w:tcPr>
            <w:tcW w:type="dxa" w:w="2160"/>
          </w:tcPr>
          <w:p w14:paraId="77813CE3" w14:textId="370FC2F0" w:rsidR="003D6B5F" w:rsidRDefault="003D6B5F">
            <w:r>
              <w:t>0.0</w:t>
            </w:r>
          </w:p>
        </w:tc>
        <w:tc>
          <w:tcPr>
            <w:tcW w:type="dxa" w:w="2160"/>
          </w:tcPr>
          <w:p w14:paraId="2E649482" w14:textId="30C36D9C" w:rsidR="003D6B5F" w:rsidRDefault="003D6B5F">
            <w:r>
              <w:t>yes</w:t>
            </w:r>
          </w:p>
        </w:tc>
      </w:tr>
    </w:tbl>
    <w:p w14:paraId="0D0F3712" w14:textId="2E146424" w:rsidR="00D6C52A" w:rsidRDefault="00D6C52A">
      <w:r>
        <w:rPr>
          <w:i/>
        </w:rPr>
        <w:t>Figure: exposure_response_chart.png. Forecasts compared unrounded (charter 5).</w:t>
      </w:r>
    </w:p>
    <w:sectPr w:rsidR="00653ED7" w:rsidRPr="00D6C52A" w:rsidSect="005EDC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B5F"/>
    <w:rsid w:val="000287D2"/>
    <w:rsid w:val="001BB140"/>
    <w:rsid w:val="001CCD76"/>
    <w:rsid w:val="00207CA8"/>
    <w:rsid w:val="003D6B5F"/>
    <w:rsid w:val="005EDCC2"/>
    <w:rsid w:val="00653ED7"/>
    <w:rsid w:val="00CA37DD"/>
    <w:rsid w:val="00D6C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9246D2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ED7"/>
    <w:rPr>
      <w:rFonts w:ascii="Calibri" w:hAnsi="Calibri"/>
      <w:sz w:val="21"/>
    </w:rPr>
  </w:style>
  <w:style w:type="paragraph" w:styleId="Heading2">
    <w:name w:val="heading 2"/>
    <w:basedOn w:val="Normal"/>
    <w:next w:val="Normal"/>
    <w:link w:val="Heading2Char"/>
    <w:uiPriority w:val="9"/>
    <w:unhideWhenUsed/>
    <w:qFormat/>
    <w:rsid w:val="00653E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3ED7"/>
    <w:rPr>
      <w:rFonts w:asciiTheme="majorHAnsi" w:eastAsiaTheme="majorEastAsia" w:hAnsiTheme="majorHAnsi" w:cstheme="majorBidi"/>
      <w:b/>
      <w:bCs/>
      <w:color w:val="4F81BD" w:themeColor="accent1"/>
      <w:sz w:val="26"/>
      <w:szCs w:val="26"/>
    </w:rPr>
  </w:style>
  <w:style w:type="table" w:styleId="LightGrid-Accent1">
    <w:name w:val="Light Grid Accent 1"/>
    <w:basedOn w:val="TableNormal"/>
    <w:uiPriority w:val="62"/>
    <w:rsid w:val="001BB140"/>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1</Pages>
  <Words>388</Words>
  <Characters>2030</Characters>
  <Application>Microsoft Office Word</Application>
  <DocSecurity>0</DocSecurity>
  <Lines>45</Lines>
  <Paragraphs>26</Paragraphs>
  <ScaleCrop>false</ScaleCrop>
  <HeadingPairs>
    <vt:vector size="2" baseType="variant">
      <vt:variant>
        <vt:lpstr>Title</vt:lpstr>
      </vt:variant>
      <vt:variant>
        <vt:i4>1</vt:i4>
      </vt:variant>
    </vt:vector>
  </HeadingPairs>
  <TitlesOfParts>
    <vt:vector size="1" baseType="lpstr">
      <vt:lpstr>Phase 3 induction dose</vt:lpstr>
    </vt:vector>
  </TitlesOfParts>
  <Company>Corvane Therapeutics</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induction dose</dc:title>
  <dc:subject/>
  <dc:creator>Kathy Harvey</dc:creator>
  <cp:keywords/>
  <dc:description/>
  <cp:lastModifiedBy>Bryan Castro</cp:lastModifiedBy>
  <cp:revision>7</cp:revision>
  <dcterms:created xsi:type="dcterms:W3CDTF">2026-10-13T09:05:00Z</dcterms:created>
  <dcterms:modified xsi:type="dcterms:W3CDTF">2026-10-21T18:02:00Z</dcterms:modified>
</cp:coreProperties>
</file>