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20FC8E" w14:textId="03F7CCA1" w:rsidR="0026173D" w:rsidRDefault="0026173D">
      <w:r>
        <w:rPr>
          <w:b/>
          <w:sz w:val="20"/>
        </w:rPr>
        <w:t>DORRANCE COUNTY PRETRIAL SERVICES</w:t>
      </w:r>
    </w:p>
    <w:p w14:paraId="4A735421" w14:textId="327FAF67" w:rsidR="00D83D0F" w:rsidRDefault="00D83D0F">
      <w:r>
        <w:rPr>
          <w:b/>
          <w:sz w:val="30"/>
        </w:rPr>
        <w:t>Memorandum</w:t>
      </w:r>
    </w:p>
    <w:p w14:paraId="7F60E9C2" w14:textId="5C981A59" w:rsidR="00949735" w:rsidRDefault="00949735">
      <w:pPr>
        <w:spacing w:after="0"/>
      </w:pPr>
      <w:r>
        <w:rPr>
          <w:b/>
        </w:rPr>
        <w:t xml:space="preserve">To: </w:t>
      </w:r>
      <w:r>
        <w:t>Zachary Henson, Senior Resident Superior Court Judge</w:t>
      </w:r>
    </w:p>
    <w:p w14:paraId="37425923" w14:textId="772EB582" w:rsidR="00320CCA" w:rsidRDefault="00320CCA">
      <w:pPr>
        <w:spacing w:after="0"/>
      </w:pPr>
      <w:r>
        <w:rPr>
          <w:b/>
        </w:rPr>
        <w:t xml:space="preserve">Copy: </w:t>
      </w:r>
      <w:r>
        <w:t>Kristen Thompson, Chief District Court Judge; Jeffrey Francis, Chief Magistrate</w:t>
      </w:r>
    </w:p>
    <w:p w14:paraId="4A32379C" w14:textId="11015461" w:rsidR="0026173D" w:rsidRDefault="0026173D">
      <w:pPr>
        <w:spacing w:after="0"/>
      </w:pPr>
      <w:r>
        <w:rPr>
          <w:b/>
        </w:rPr>
        <w:t xml:space="preserve">From: </w:t>
      </w:r>
      <w:r>
        <w:t>Teresa Diaz, Director (prepared by Lauren Mullins, Research Analyst)</w:t>
      </w:r>
    </w:p>
    <w:p w14:paraId="39AAAF6C" w14:textId="58FA1D1D" w:rsidR="0026173D" w:rsidRDefault="0026173D">
      <w:pPr>
        <w:spacing w:after="0"/>
      </w:pPr>
      <w:r>
        <w:rPr>
          <w:b/>
        </w:rPr>
        <w:t xml:space="preserve">Date: </w:t>
      </w:r>
      <w:r>
        <w:t>14 October 2026</w:t>
      </w:r>
    </w:p>
    <w:p w14:paraId="5DDDB763" w14:textId="6F7C21B2" w:rsidR="00DB6934" w:rsidRDefault="00DB6934">
      <w:pPr>
        <w:spacing w:after="0"/>
      </w:pPr>
      <w:r>
        <w:rPr>
          <w:b/>
        </w:rPr>
        <w:t xml:space="preserve">Re: </w:t>
      </w:r>
      <w:r>
        <w:t>Local bail policy revision for 2027, section 2.6: the top score for the presumptive release tier</w:t>
      </w:r>
    </w:p>
    <w:p w14:paraId="0650DACE" w14:textId="09010CD9" w:rsidR="00D83D0F" w:rsidRDefault="00D83D0F"/>
    <w:p w14:paraId="53DBD7B7" w14:textId="6ABDFB7D" w:rsidR="00320CCA" w:rsidRDefault="00320CCA">
      <w:r>
        <w:rPr>
          <w:b/>
          <w:sz w:val="26"/>
        </w:rPr>
        <w:t>The tier should stop at new-criminal-activity score 3</w:t>
      </w:r>
    </w:p>
    <w:p w14:paraId="6E95FC35" w14:textId="592397E3" w:rsidR="0026173D" w:rsidRDefault="0026173D">
      <w:r>
        <w:t>We propose 3 as the tier's top score. Scores 1 to 3 each meet the 85 percent safety floor of section 2.3 for all the eligible defendants the tier would release at the score. Score 4 does not: with every eligible score-4 defendant released, 75.8 percent would complete the pretrial period without a new-offense arrest.</w:t>
      </w:r>
    </w:p>
    <w:p w14:paraId="20DE60EC" w14:textId="22052EDC" w:rsidR="0036D7DE" w:rsidRDefault="0036D7DE">
      <w:r>
        <w:t>Score 4 looks safe on the record we have. Of the eligible score-4 defendants magistrates released at first appearance from October 2021 to September 2025, 87.9 percent had no new-offense arrest in the pretrial period. But magistrates held 26.0 percent of eligible score-4 defendants, and they hold the ones whose affidavits and appearance concern them. A held defendant's pretrial outcome is never recorded, so the released defendants' rate leaves out exactly the defendants the tier would add, and the tier releases every one of them.</w:t>
      </w:r>
    </w:p>
    <w:p w14:paraId="14166DB8" w14:textId="53439A04" w:rsidR="00320CCA" w:rsidRDefault="00320CCA">
      <w:r>
        <w:t>The duty rota sends every magistrate the same mix of arrests, so the 32 magistrates who heard these appearances differ in what they release, not in whom they see. At score 4, a magistrate who releases more of the same defendants sees more new-offense arrests per eligible appearance, by more than the released defendants' own rate would add: the defendants the lenient magistrates release and the others hold are riskier than those everyone releases. Carried out to release of every eligible defendant, score 4's rate is 75.8 percent. The same reading puts score 3 at 90.3 percent, clear of the floor.</w:t>
      </w:r>
    </w:p>
    <w:p w14:paraId="62263B05" w14:textId="36D9D4D1" w:rsidR="00949735" w:rsidRDefault="00949735">
      <w:r>
        <w:rPr>
          <w:b/>
        </w:rPr>
        <w:t>Eligible first appearances, October 2021 to September 2025, by score</w:t>
      </w:r>
    </w:p>
    <w:tbl>
      <w:tblPr>
        <w:tblStyle w:val="TableGrid"/>
        <w:tblW w:type="auto" w:w="0"/>
        <w:tblLook w:firstColumn="1" w:firstRow="1" w:lastColumn="0" w:lastRow="0" w:noHBand="0" w:noVBand="1" w:val="04A0"/>
      </w:tblPr>
      <w:tblGrid>
        <w:gridCol w:w="1728"/>
        <w:gridCol w:w="1728"/>
        <w:gridCol w:w="1728"/>
        <w:gridCol w:w="1728"/>
        <w:gridCol w:w="1728"/>
      </w:tblGrid>
      <w:tr w14:paraId="5FFA7370" w14:textId="083B130F" w:rsidR="00949735" w:rsidTr="00949735">
        <w:tc>
          <w:tcPr>
            <w:tcW w:type="dxa" w:w="1728"/>
          </w:tcPr>
          <w:p w14:paraId="4043EE3C" w14:textId="2E25B27C" w:rsidR="00D83D0F" w:rsidRDefault="00D83D0F">
            <w:r>
              <w:rPr>
                <w:sz w:val="19"/>
              </w:rPr>
              <w:t>NCA score</w:t>
            </w:r>
          </w:p>
        </w:tc>
        <w:tc>
          <w:tcPr>
            <w:tcW w:type="dxa" w:w="1728"/>
          </w:tcPr>
          <w:p w14:paraId="542B9013" w14:textId="1ED23223" w:rsidR="00320CCA" w:rsidRDefault="00320CCA">
            <w:r>
              <w:rPr>
                <w:sz w:val="19"/>
              </w:rPr>
              <w:t>Eligible first appearances (1)</w:t>
            </w:r>
          </w:p>
        </w:tc>
        <w:tc>
          <w:tcPr>
            <w:tcW w:type="dxa" w:w="1728"/>
          </w:tcPr>
          <w:p w14:paraId="2B083318" w14:textId="157C2210" w:rsidR="00C13859" w:rsidRDefault="00C13859">
            <w:r>
              <w:rPr>
                <w:sz w:val="19"/>
              </w:rPr>
              <w:t>Released at first appearance</w:t>
            </w:r>
          </w:p>
        </w:tc>
        <w:tc>
          <w:tcPr>
            <w:tcW w:type="dxa" w:w="1728"/>
          </w:tcPr>
          <w:p w14:paraId="6CC38FE4" w14:textId="3B663BAE" w:rsidR="008143F5" w:rsidRDefault="008143F5">
            <w:r>
              <w:rPr>
                <w:sz w:val="19"/>
              </w:rPr>
              <w:t>No new-offense arrest: defendants released</w:t>
            </w:r>
          </w:p>
        </w:tc>
        <w:tc>
          <w:tcPr>
            <w:tcW w:type="dxa" w:w="1728"/>
          </w:tcPr>
          <w:p w14:paraId="17878E71" w14:textId="39EC5611" w:rsidR="00D83D0F" w:rsidRDefault="00D83D0F">
            <w:r>
              <w:rPr>
                <w:sz w:val="19"/>
              </w:rPr>
              <w:t>No new-offense arrest: every eligible defendant released</w:t>
            </w:r>
          </w:p>
        </w:tc>
      </w:tr>
      <w:tr w14:paraId="299A44C0" w14:textId="5CE221D8" w:rsidR="008143F5" w:rsidTr="008143F5">
        <w:tc>
          <w:tcPr>
            <w:tcW w:type="dxa" w:w="1728"/>
          </w:tcPr>
          <w:p w14:paraId="6461E7E7" w14:textId="194FFF36" w:rsidR="004457D9" w:rsidRDefault="004457D9">
            <w:r>
              <w:rPr>
                <w:sz w:val="19"/>
              </w:rPr>
              <w:t>1</w:t>
            </w:r>
          </w:p>
        </w:tc>
        <w:tc>
          <w:tcPr>
            <w:tcW w:type="dxa" w:w="1728"/>
          </w:tcPr>
          <w:p w14:paraId="79714C4C" w14:textId="63BB6267" w:rsidR="0026173D" w:rsidRDefault="0026173D">
            <w:r>
              <w:rPr>
                <w:sz w:val="19"/>
              </w:rPr>
              <w:t>14,944</w:t>
            </w:r>
          </w:p>
        </w:tc>
        <w:tc>
          <w:tcPr>
            <w:tcW w:type="dxa" w:w="1728"/>
          </w:tcPr>
          <w:p w14:paraId="522B5764" w14:textId="006DC67F" w:rsidR="00DB6934" w:rsidRDefault="00DB6934">
            <w:r>
              <w:rPr>
                <w:sz w:val="19"/>
              </w:rPr>
              <w:t>97.6%</w:t>
            </w:r>
          </w:p>
        </w:tc>
        <w:tc>
          <w:tcPr>
            <w:tcW w:type="dxa" w:w="1728"/>
          </w:tcPr>
          <w:p w14:paraId="04318D8F" w14:textId="60435B93" w:rsidR="00DB6934" w:rsidRDefault="00DB6934">
            <w:r>
              <w:rPr>
                <w:sz w:val="19"/>
              </w:rPr>
              <w:t>95.5%</w:t>
            </w:r>
          </w:p>
        </w:tc>
        <w:tc>
          <w:tcPr>
            <w:tcW w:type="dxa" w:w="1728"/>
          </w:tcPr>
          <w:p w14:paraId="1C2B825F" w14:textId="3A5E25AD" w:rsidR="00D83D0F" w:rsidRDefault="00D83D0F">
            <w:r>
              <w:rPr>
                <w:sz w:val="19"/>
              </w:rPr>
              <w:t>95.1%</w:t>
            </w:r>
          </w:p>
        </w:tc>
      </w:tr>
      <w:tr w14:paraId="30541721" w14:textId="20F33983" w:rsidR="004457D9" w:rsidTr="004457D9">
        <w:tc>
          <w:tcPr>
            <w:tcW w:type="dxa" w:w="1728"/>
          </w:tcPr>
          <w:p w14:paraId="0DFA3B5D" w14:textId="058E7A0E" w:rsidR="008143F5" w:rsidRDefault="008143F5">
            <w:r>
              <w:rPr>
                <w:sz w:val="19"/>
              </w:rPr>
              <w:t>2</w:t>
            </w:r>
          </w:p>
        </w:tc>
        <w:tc>
          <w:tcPr>
            <w:tcW w:type="dxa" w:w="1728"/>
          </w:tcPr>
          <w:p w14:paraId="5448C5E2" w14:textId="4E8732ED" w:rsidR="00D83D0F" w:rsidRDefault="00D83D0F">
            <w:r>
              <w:rPr>
                <w:sz w:val="19"/>
              </w:rPr>
              <w:t>18,085</w:t>
            </w:r>
          </w:p>
        </w:tc>
        <w:tc>
          <w:tcPr>
            <w:tcW w:type="dxa" w:w="1728"/>
          </w:tcPr>
          <w:p w14:paraId="6953EA14" w14:textId="3923AFFA" w:rsidR="00320CCA" w:rsidRDefault="00320CCA">
            <w:r>
              <w:rPr>
                <w:sz w:val="19"/>
              </w:rPr>
              <w:t>94.2%</w:t>
            </w:r>
          </w:p>
        </w:tc>
        <w:tc>
          <w:tcPr>
            <w:tcW w:type="dxa" w:w="1728"/>
          </w:tcPr>
          <w:p w14:paraId="7C43FA0E" w14:textId="686DFED4" w:rsidR="004457D9" w:rsidRDefault="004457D9">
            <w:r>
              <w:rPr>
                <w:sz w:val="19"/>
              </w:rPr>
              <w:t>93.9%</w:t>
            </w:r>
          </w:p>
        </w:tc>
        <w:tc>
          <w:tcPr>
            <w:tcW w:type="dxa" w:w="1728"/>
          </w:tcPr>
          <w:p w14:paraId="08C618AE" w14:textId="1926F598" w:rsidR="00DB6934" w:rsidRDefault="00DB6934">
            <w:r>
              <w:rPr>
                <w:sz w:val="19"/>
              </w:rPr>
              <w:t>93.1%</w:t>
            </w:r>
          </w:p>
        </w:tc>
      </w:tr>
      <w:tr w14:paraId="76F81649" w14:textId="4BD3F879" w:rsidR="00D83D0F" w:rsidTr="00D83D0F">
        <w:tc>
          <w:tcPr>
            <w:tcW w:type="dxa" w:w="1728"/>
          </w:tcPr>
          <w:p w14:paraId="46C1C0BD" w14:textId="2E0B2128" w:rsidR="00C13859" w:rsidRDefault="00C13859">
            <w:r>
              <w:rPr>
                <w:sz w:val="19"/>
              </w:rPr>
              <w:t>3</w:t>
            </w:r>
          </w:p>
        </w:tc>
        <w:tc>
          <w:tcPr>
            <w:tcW w:type="dxa" w:w="1728"/>
          </w:tcPr>
          <w:p w14:paraId="5461D6FE" w14:textId="0988CD5D" w:rsidR="00C13859" w:rsidRDefault="00C13859">
            <w:r>
              <w:rPr>
                <w:sz w:val="19"/>
              </w:rPr>
              <w:t>10,525</w:t>
            </w:r>
          </w:p>
        </w:tc>
        <w:tc>
          <w:tcPr>
            <w:tcW w:type="dxa" w:w="1728"/>
          </w:tcPr>
          <w:p w14:paraId="1A65AAD3" w14:textId="56F34855" w:rsidR="004457D9" w:rsidRDefault="004457D9">
            <w:r>
              <w:rPr>
                <w:sz w:val="19"/>
              </w:rPr>
              <w:t>89.0%</w:t>
            </w:r>
          </w:p>
        </w:tc>
        <w:tc>
          <w:tcPr>
            <w:tcW w:type="dxa" w:w="1728"/>
          </w:tcPr>
          <w:p w14:paraId="00555A2A" w14:textId="6882A7F4" w:rsidR="0036D7DE" w:rsidRDefault="0036D7DE">
            <w:r>
              <w:rPr>
                <w:sz w:val="19"/>
              </w:rPr>
              <w:t>91.9%</w:t>
            </w:r>
          </w:p>
        </w:tc>
        <w:tc>
          <w:tcPr>
            <w:tcW w:type="dxa" w:w="1728"/>
          </w:tcPr>
          <w:p w14:paraId="246418F9" w14:textId="51DF5991" w:rsidR="00949735" w:rsidRDefault="00949735">
            <w:r>
              <w:rPr>
                <w:sz w:val="19"/>
              </w:rPr>
              <w:t>90.3%</w:t>
            </w:r>
          </w:p>
        </w:tc>
      </w:tr>
      <w:tr w14:paraId="5A8A9D7B" w14:textId="63EAAF88" w:rsidR="004457D9" w:rsidTr="004457D9">
        <w:tc>
          <w:tcPr>
            <w:tcW w:type="dxa" w:w="1728"/>
          </w:tcPr>
          <w:p w14:paraId="6BF522F5" w14:textId="3243D918" w:rsidR="00D83D0F" w:rsidRDefault="00D83D0F">
            <w:r>
              <w:rPr>
                <w:sz w:val="19"/>
              </w:rPr>
              <w:t>4</w:t>
            </w:r>
          </w:p>
        </w:tc>
        <w:tc>
          <w:tcPr>
            <w:tcW w:type="dxa" w:w="1728"/>
          </w:tcPr>
          <w:p w14:paraId="05E3D8BE" w14:textId="4CF36846" w:rsidR="0026173D" w:rsidRDefault="0026173D">
            <w:r>
              <w:rPr>
                <w:sz w:val="19"/>
              </w:rPr>
              <w:t>7,439</w:t>
            </w:r>
          </w:p>
        </w:tc>
        <w:tc>
          <w:tcPr>
            <w:tcW w:type="dxa" w:w="1728"/>
          </w:tcPr>
          <w:p w14:paraId="4B164BFA" w14:textId="0ABB25FD" w:rsidR="00320CCA" w:rsidRDefault="00320CCA">
            <w:r>
              <w:rPr>
                <w:sz w:val="19"/>
              </w:rPr>
              <w:t>74.0%</w:t>
            </w:r>
          </w:p>
        </w:tc>
        <w:tc>
          <w:tcPr>
            <w:tcW w:type="dxa" w:w="1728"/>
          </w:tcPr>
          <w:p w14:paraId="7EFC0251" w14:textId="06041836" w:rsidR="008143F5" w:rsidRDefault="008143F5">
            <w:r>
              <w:rPr>
                <w:sz w:val="19"/>
              </w:rPr>
              <w:t>87.9%</w:t>
            </w:r>
          </w:p>
        </w:tc>
        <w:tc>
          <w:tcPr>
            <w:tcW w:type="dxa" w:w="1728"/>
          </w:tcPr>
          <w:p w14:paraId="4669CE1F" w14:textId="280E648E" w:rsidR="0026173D" w:rsidRDefault="0026173D">
            <w:r>
              <w:rPr>
                <w:sz w:val="19"/>
              </w:rPr>
              <w:t>75.8%  below floor</w:t>
            </w:r>
          </w:p>
        </w:tc>
      </w:tr>
      <w:tr w14:paraId="3EB0A92B" w14:textId="252D25F2" w:rsidR="008143F5" w:rsidTr="008143F5">
        <w:tc>
          <w:tcPr>
            <w:tcW w:type="dxa" w:w="1728"/>
          </w:tcPr>
          <w:p w14:paraId="2AA9B43E" w14:textId="7F107063" w:rsidR="00320CCA" w:rsidRDefault="00320CCA">
            <w:r>
              <w:rPr>
                <w:sz w:val="19"/>
              </w:rPr>
              <w:t>5</w:t>
            </w:r>
          </w:p>
        </w:tc>
        <w:tc>
          <w:tcPr>
            <w:tcW w:type="dxa" w:w="1728"/>
          </w:tcPr>
          <w:p w14:paraId="66EE91AF" w14:textId="3FC93BFD" w:rsidR="00320CCA" w:rsidRDefault="00320CCA">
            <w:r>
              <w:rPr>
                <w:sz w:val="19"/>
              </w:rPr>
              <w:t>2,353</w:t>
            </w:r>
          </w:p>
        </w:tc>
        <w:tc>
          <w:tcPr>
            <w:tcW w:type="dxa" w:w="1728"/>
          </w:tcPr>
          <w:p w14:paraId="5B350CDC" w14:textId="1679B831" w:rsidR="00C13859" w:rsidRDefault="00C13859">
            <w:r>
              <w:rPr>
                <w:sz w:val="19"/>
              </w:rPr>
              <w:t>69.7%</w:t>
            </w:r>
          </w:p>
        </w:tc>
        <w:tc>
          <w:tcPr>
            <w:tcW w:type="dxa" w:w="1728"/>
          </w:tcPr>
          <w:p w14:paraId="34E643E1" w14:textId="7B86437B" w:rsidR="0036D7DE" w:rsidRDefault="0036D7DE">
            <w:r>
              <w:rPr>
                <w:sz w:val="19"/>
              </w:rPr>
              <w:t>78.0%</w:t>
            </w:r>
          </w:p>
        </w:tc>
        <w:tc>
          <w:tcPr>
            <w:tcW w:type="dxa" w:w="1728"/>
          </w:tcPr>
          <w:p w14:paraId="1FEAC1BB" w14:textId="73B3A0EA" w:rsidR="00949735" w:rsidRDefault="00949735">
            <w:r>
              <w:rPr>
                <w:sz w:val="19"/>
              </w:rPr>
              <w:t>63.6%  below floor</w:t>
            </w:r>
          </w:p>
        </w:tc>
      </w:tr>
      <w:tr w14:paraId="643BC874" w14:textId="6D2CD26A" w:rsidR="004457D9" w:rsidTr="004457D9">
        <w:tc>
          <w:tcPr>
            <w:tcW w:type="dxa" w:w="1728"/>
          </w:tcPr>
          <w:p w14:paraId="7451F5D5" w14:textId="71269104" w:rsidR="0026173D" w:rsidRDefault="0026173D">
            <w:r>
              <w:rPr>
                <w:sz w:val="19"/>
              </w:rPr>
              <w:t>6</w:t>
            </w:r>
          </w:p>
        </w:tc>
        <w:tc>
          <w:tcPr>
            <w:tcW w:type="dxa" w:w="1728"/>
          </w:tcPr>
          <w:p w14:paraId="2FEDFDAA" w14:textId="0B1CE5B4" w:rsidR="008143F5" w:rsidRDefault="008143F5">
            <w:r>
              <w:rPr>
                <w:sz w:val="19"/>
              </w:rPr>
              <w:t>1,659</w:t>
            </w:r>
          </w:p>
        </w:tc>
        <w:tc>
          <w:tcPr>
            <w:tcW w:type="dxa" w:w="1728"/>
          </w:tcPr>
          <w:p w14:paraId="10F276CF" w14:textId="3B11DF70" w:rsidR="00949735" w:rsidRDefault="00949735">
            <w:r>
              <w:rPr>
                <w:sz w:val="19"/>
              </w:rPr>
              <w:t>62.3%</w:t>
            </w:r>
          </w:p>
        </w:tc>
        <w:tc>
          <w:tcPr>
            <w:tcW w:type="dxa" w:w="1728"/>
          </w:tcPr>
          <w:p w14:paraId="6443CBC1" w14:textId="588FDFC4" w:rsidR="00320CCA" w:rsidRDefault="00320CCA">
            <w:r>
              <w:rPr>
                <w:sz w:val="19"/>
              </w:rPr>
              <w:t>73.8%</w:t>
            </w:r>
          </w:p>
        </w:tc>
        <w:tc>
          <w:tcPr>
            <w:tcW w:type="dxa" w:w="1728"/>
          </w:tcPr>
          <w:p w14:paraId="3BDFA8D6" w14:textId="0149F147" w:rsidR="0036D7DE" w:rsidRDefault="0036D7DE">
            <w:r>
              <w:rPr>
                <w:sz w:val="19"/>
              </w:rPr>
              <w:t>61.6%  below floor</w:t>
            </w:r>
          </w:p>
        </w:tc>
      </w:tr>
    </w:tbl>
    <w:p w14:paraId="08085FC3" w14:textId="7F3334C8" w:rsidR="00D83D0F" w:rsidRDefault="00D83D0F">
      <w:r>
        <w:rPr>
          <w:i/>
          <w:sz w:val="17"/>
        </w:rPr>
        <w:t>Source: clerk's first-appearance exports (legacy system and case management system), Pretrial Assessment Scale screens, the jail export and the state arrest extract of 2 October 2026; pretrial period and new-offense arrest as in section 2.4.</w:t>
      </w:r>
    </w:p>
    <w:p w14:paraId="5FDBADE7" w14:textId="54C3238D" w:rsidR="00C13859" w:rsidRDefault="00C13859">
      <w:r>
        <w:rPr>
          <w:b/>
        </w:rPr>
        <w:t>How the full-release rate is read</w:t>
      </w:r>
    </w:p>
    <w:p w14:paraId="55D40E28" w14:textId="3E82C4C4" w:rsidR="00C13859" w:rsidRDefault="00C13859">
      <w:r>
        <w:t>Every first appearance from 1 October 2021 to 30 September 2025, so each 365-day pretrial period had closed by the extracts' end on 30 September 2026. For each score and each magistrate: the share of eligible defendants released at first appearance, and the new-offense arrests per eligible appearance (arrests among the released, over all eligible appearances, held or not). Across the 32 magistrates the two lie on a line, fitted with each magistrate weighted by caseload; its value at a release share of 100 percent is the score's new-offense rate under the tier.</w:t>
      </w:r>
    </w:p>
    <w:p w14:paraId="631F8B44" w14:textId="046ED356" w:rsidR="008143F5" w:rsidRDefault="008143F5">
      <w:r>
        <w:rPr>
          <w:b/>
        </w:rPr>
        <w:t>Jail, monitoring and court dates</w:t>
      </w:r>
    </w:p>
    <w:p w14:paraId="49A4E211" w14:textId="002FBD09" w:rsidR="0026173D" w:rsidRDefault="0026173D">
      <w:r>
        <w:t>presumptive_release_tier_2027.xlsx gives, by new-criminal-activity score, the bed-days in custody of eligible defendants held after a first appearance from 1 October 2025 and the monitoring days of defendants released at a first appearance in that year, and by failure-to-appear score the releases from 1 October 2025 to 30 June 2026 followed within 90 days by a missed court date (charted in missed_court_dates_by_fta_score.png).</w:t>
      </w:r>
    </w:p>
    <w:p w14:paraId="4FDA37A0" w14:textId="2F44CD5D" w:rsidR="00949735" w:rsidRDefault="00949735">
      <w:r>
        <w:rPr>
          <w:sz w:val="17"/>
        </w:rPr>
        <w:t>(1) Eligible under section 2.1 at that appearance: every charge a misdemeanor (Class A1, 1, 2 or 3), none listed in Appendix B, and no hold from another jurisdiction. Appearances with no screen have no score and are outside the tier and the table.</w:t>
      </w:r>
    </w:p>
    <w:sectPr w:rsidR="00C13859" w:rsidRPr="008143F5" w:rsidSect="00DB6934">
      <w:footerReference w:type="default" r:id="rId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50F8393" w14:textId="0C4594EF" w:rsidR="0036D7DE" w:rsidRDefault="0036D7DE">
    <w:pPr>
      <w:pStyle w:val="Footer"/>
    </w:pPr>
    <w:r>
      <w:rPr>
        <w:color w:val="595959"/>
        <w:sz w:val="17"/>
      </w:rPr>
      <w:t xml:space="preserve">Pretrial Services, research: presumptive release tier for 2027. Page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7D9"/>
    <w:rsid w:val="0026173D"/>
    <w:rsid w:val="00320CCA"/>
    <w:rsid w:val="0036D7DE"/>
    <w:rsid w:val="004457D9"/>
    <w:rsid w:val="008143F5"/>
    <w:rsid w:val="00949735"/>
    <w:rsid w:val="00C13859"/>
    <w:rsid w:val="00D83D0F"/>
    <w:rsid w:val="00DB69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D0EAFC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3859"/>
    <w:rPr>
      <w:rFonts w:ascii="Calibri" w:hAnsi="Calibri"/>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138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616</Words>
  <Characters>3269</Characters>
  <Application>Microsoft Office Word</Application>
  <DocSecurity>0</DocSecurity>
  <Lines>86</Lines>
  <Paragraphs>53</Paragraphs>
  <ScaleCrop>false</ScaleCrop>
  <HeadingPairs>
    <vt:vector size="2" baseType="variant">
      <vt:variant>
        <vt:lpstr>Title</vt:lpstr>
      </vt:variant>
      <vt:variant>
        <vt:i4>1</vt:i4>
      </vt:variant>
    </vt:vector>
  </HeadingPairs>
  <TitlesOfParts>
    <vt:vector size="1" baseType="lpstr">
      <vt:lpstr>Presumptive release tier 2027</vt:lpstr>
    </vt:vector>
  </TitlesOfParts>
  <Company>Dorrance County Pretrial Services</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Presumptive release tier 2027</dc:title>
  <dc:subject/>
  <dc:creator>Lauren Mullins</dc:creator>
  <cp:keywords/>
  <dc:description/>
  <cp:lastModifiedBy>Teresa Diaz</cp:lastModifiedBy>
  <cp:revision>6</cp:revision>
  <dcterms:created xsi:type="dcterms:W3CDTF">2026-10-13T14:02:00Z</dcterms:created>
  <dcterms:modified xsi:type="dcterms:W3CDTF">2026-10-14T20:17:00Z</dcterms:modified>
</cp:coreProperties>
</file>