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To: Executive team, meeting of 19 November 2026</w:t>
      </w:r>
    </w:p>
    <w:p>
      <w:pPr>
        <w:spacing w:after="0"/>
      </w:pPr>
      <w:r>
        <w:t>From: Frederick Nicholls, product analyst, for Lynne Powell, head of monetisation</w:t>
      </w:r>
    </w:p>
    <w:p>
      <w:pPr>
        <w:spacing w:after="0"/>
      </w:pPr>
      <w:r>
        <w:t>Date: 16 October 2026</w:t>
      </w:r>
    </w:p>
    <w:p>
      <w:pPr>
        <w:spacing w:after="0"/>
      </w:pPr>
      <w:r>
        <w:t>Subject: The free plan's three-project limit, which app first</w:t>
      </w:r>
    </w:p>
    <w:p>
      <w:pPr>
        <w:spacing w:before="200"/>
      </w:pPr>
      <w:r>
        <w:rPr>
          <w:b/>
          <w:sz w:val="30"/>
        </w:rPr>
        <w:t>Ledgerline should take the three-project limit first</w:t>
      </w:r>
    </w:p>
    <w:p>
      <w:pPr>
        <w:pStyle w:val="Heading2"/>
      </w:pPr>
      <w:r>
        <w:t>Recommendation</w:t>
      </w:r>
    </w:p>
    <w:p>
      <w:r>
        <w:t>Take the three-project limit first in Ledgerline. It adds about GBP 100,000 to Ledgerline's 2027 revenue (GBP 102,022 as built), against GBP 70,000 in Formbox, GBP 20,000 in Taskfold, GBP 12,000 in Tracewood and a loss of GBP 11,000 in Notewell.</w:t>
      </w:r>
    </w:p>
    <w:p>
      <w:pPr>
        <w:pStyle w:val="Heading2"/>
      </w:pPr>
      <w:r>
        <w:t>How a free account answers a limit</w:t>
      </w:r>
    </w:p>
    <w:p>
      <w:r>
        <w:t>The free plan already stops accounts once, at the two-gigabyte storage allowance: an account that is full cannot add files until it deletes some or moves to Plus. In the research panel 1,685 free accounts reached the allowance for the first time between January 2023 and September 2025. The month after, 5.2 per cent were on Plus, 58.2 per cent were still using the free plan and 36.7 per cent had stopped using the app. Over the following year they spent 0.46 more months on Plus and 4.5 fewer months using the free plan than free accounts over three projects the allowance had not stopped. The project limit stops an account in the same way: over three projects it cannot edit until it archives, pays or goes. Free accounts that reached the allowance answered it alike whatever the app, the number of projects they had or how long they had been with us.</w:t>
      </w:r>
    </w:p>
    <w:p>
      <w:r>
        <w:t>Free accounts over three projects move to Plus on their own at about 2.5 per cent a year, and few leave. Priced at that rate, or at the 5.2 per cent who pay when stopped, with nobody leaving, the limit belongs in Tracewood, which has the most free accounts over the limit. The accounts that leave decide it: each costs its app the free-plan revenue it earned, GBP 2.00 a month in Tracewood and GBP 0.80 in Notewell, against GBP 1.00 in Ledgerline, where the Plus price (GBP 28.00) is the highest.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App</w:t>
            </w:r>
          </w:p>
        </w:tc>
        <w:tc>
          <w:tcPr>
            <w:tcW w:type="dxa" w:w="1728"/>
          </w:tcPr>
          <w:p>
            <w:r>
              <w:t>Free accounts over three projects, Sep 2026</w:t>
            </w:r>
          </w:p>
        </w:tc>
        <w:tc>
          <w:tcPr>
            <w:tcW w:type="dxa" w:w="1728"/>
          </w:tcPr>
          <w:p>
            <w:r>
              <w:t>Reaching a fourth during 2027</w:t>
            </w:r>
          </w:p>
        </w:tc>
        <w:tc>
          <w:tcPr>
            <w:tcW w:type="dxa" w:w="1728"/>
          </w:tcPr>
          <w:p>
            <w:r>
              <w:t>Plus a month (GBP)</w:t>
            </w:r>
          </w:p>
        </w:tc>
        <w:tc>
          <w:tcPr>
            <w:tcW w:type="dxa" w:w="1728"/>
          </w:tcPr>
          <w:p>
            <w:r>
              <w:t>2027 revenue added (GBP)</w:t>
            </w:r>
          </w:p>
        </w:tc>
      </w:tr>
      <w:tr>
        <w:tc>
          <w:tcPr>
            <w:tcW w:type="dxa" w:w="1728"/>
          </w:tcPr>
          <w:p>
            <w:r>
              <w:t>Tracewood</w:t>
            </w:r>
          </w:p>
        </w:tc>
        <w:tc>
          <w:tcPr>
            <w:tcW w:type="dxa" w:w="1728"/>
          </w:tcPr>
          <w:p>
            <w:pPr>
              <w:jc w:val="right"/>
            </w:pPr>
            <w:r>
              <w:t>29,359</w:t>
            </w:r>
          </w:p>
        </w:tc>
        <w:tc>
          <w:tcPr>
            <w:tcW w:type="dxa" w:w="1728"/>
          </w:tcPr>
          <w:p>
            <w:pPr>
              <w:jc w:val="right"/>
            </w:pPr>
            <w:r>
              <w:t>8,213</w:t>
            </w:r>
          </w:p>
        </w:tc>
        <w:tc>
          <w:tcPr>
            <w:tcW w:type="dxa" w:w="1728"/>
          </w:tcPr>
          <w:p>
            <w:pPr>
              <w:jc w:val="right"/>
            </w:pPr>
            <w:r>
              <w:t>20.00</w:t>
            </w:r>
          </w:p>
        </w:tc>
        <w:tc>
          <w:tcPr>
            <w:tcW w:type="dxa" w:w="1728"/>
          </w:tcPr>
          <w:p>
            <w:pPr>
              <w:jc w:val="right"/>
            </w:pPr>
            <w:r>
              <w:t>12,177</w:t>
            </w:r>
          </w:p>
        </w:tc>
      </w:tr>
      <w:tr>
        <w:tc>
          <w:tcPr>
            <w:tcW w:type="dxa" w:w="1728"/>
          </w:tcPr>
          <w:p>
            <w:r>
              <w:t>Taskfold</w:t>
            </w:r>
          </w:p>
        </w:tc>
        <w:tc>
          <w:tcPr>
            <w:tcW w:type="dxa" w:w="1728"/>
          </w:tcPr>
          <w:p>
            <w:pPr>
              <w:jc w:val="right"/>
            </w:pPr>
            <w:r>
              <w:t>10,036</w:t>
            </w:r>
          </w:p>
        </w:tc>
        <w:tc>
          <w:tcPr>
            <w:tcW w:type="dxa" w:w="1728"/>
          </w:tcPr>
          <w:p>
            <w:pPr>
              <w:jc w:val="right"/>
            </w:pPr>
            <w:r>
              <w:t>3,036</w:t>
            </w:r>
          </w:p>
        </w:tc>
        <w:tc>
          <w:tcPr>
            <w:tcW w:type="dxa" w:w="1728"/>
          </w:tcPr>
          <w:p>
            <w:pPr>
              <w:jc w:val="right"/>
            </w:pPr>
            <w:r>
              <w:t>8.00</w:t>
            </w:r>
          </w:p>
        </w:tc>
        <w:tc>
          <w:tcPr>
            <w:tcW w:type="dxa" w:w="1728"/>
          </w:tcPr>
          <w:p>
            <w:pPr>
              <w:jc w:val="right"/>
            </w:pPr>
            <w:r>
              <w:t>20,087</w:t>
            </w:r>
          </w:p>
        </w:tc>
      </w:tr>
      <w:tr>
        <w:tc>
          <w:tcPr>
            <w:tcW w:type="dxa" w:w="1728"/>
          </w:tcPr>
          <w:p>
            <w:r>
              <w:t>Ledgerline</w:t>
            </w:r>
          </w:p>
        </w:tc>
        <w:tc>
          <w:tcPr>
            <w:tcW w:type="dxa" w:w="1728"/>
          </w:tcPr>
          <w:p>
            <w:pPr>
              <w:jc w:val="right"/>
            </w:pPr>
            <w:r>
              <w:t>10,219</w:t>
            </w:r>
          </w:p>
        </w:tc>
        <w:tc>
          <w:tcPr>
            <w:tcW w:type="dxa" w:w="1728"/>
          </w:tcPr>
          <w:p>
            <w:pPr>
              <w:jc w:val="right"/>
            </w:pPr>
            <w:r>
              <w:t>3,035</w:t>
            </w:r>
          </w:p>
        </w:tc>
        <w:tc>
          <w:tcPr>
            <w:tcW w:type="dxa" w:w="1728"/>
          </w:tcPr>
          <w:p>
            <w:pPr>
              <w:jc w:val="right"/>
            </w:pPr>
            <w:r>
              <w:t>28.00</w:t>
            </w:r>
          </w:p>
        </w:tc>
        <w:tc>
          <w:tcPr>
            <w:tcW w:type="dxa" w:w="1728"/>
          </w:tcPr>
          <w:p>
            <w:pPr>
              <w:jc w:val="right"/>
            </w:pPr>
            <w:r>
              <w:t>102,022</w:t>
            </w:r>
          </w:p>
        </w:tc>
      </w:tr>
      <w:tr>
        <w:tc>
          <w:tcPr>
            <w:tcW w:type="dxa" w:w="1728"/>
          </w:tcPr>
          <w:p>
            <w:r>
              <w:t>Formbox</w:t>
            </w:r>
          </w:p>
        </w:tc>
        <w:tc>
          <w:tcPr>
            <w:tcW w:type="dxa" w:w="1728"/>
          </w:tcPr>
          <w:p>
            <w:pPr>
              <w:jc w:val="right"/>
            </w:pPr>
            <w:r>
              <w:t>10,258</w:t>
            </w:r>
          </w:p>
        </w:tc>
        <w:tc>
          <w:tcPr>
            <w:tcW w:type="dxa" w:w="1728"/>
          </w:tcPr>
          <w:p>
            <w:pPr>
              <w:jc w:val="right"/>
            </w:pPr>
            <w:r>
              <w:t>3,374</w:t>
            </w:r>
          </w:p>
        </w:tc>
        <w:tc>
          <w:tcPr>
            <w:tcW w:type="dxa" w:w="1728"/>
          </w:tcPr>
          <w:p>
            <w:pPr>
              <w:jc w:val="right"/>
            </w:pPr>
            <w:r>
              <w:t>13.00</w:t>
            </w:r>
          </w:p>
        </w:tc>
        <w:tc>
          <w:tcPr>
            <w:tcW w:type="dxa" w:w="1728"/>
          </w:tcPr>
          <w:p>
            <w:pPr>
              <w:jc w:val="right"/>
            </w:pPr>
            <w:r>
              <w:t>70,314</w:t>
            </w:r>
          </w:p>
        </w:tc>
      </w:tr>
      <w:tr>
        <w:tc>
          <w:tcPr>
            <w:tcW w:type="dxa" w:w="1728"/>
          </w:tcPr>
          <w:p>
            <w:r>
              <w:t>Notewell</w:t>
            </w:r>
          </w:p>
        </w:tc>
        <w:tc>
          <w:tcPr>
            <w:tcW w:type="dxa" w:w="1728"/>
          </w:tcPr>
          <w:p>
            <w:pPr>
              <w:jc w:val="right"/>
            </w:pPr>
            <w:r>
              <w:t>12,555</w:t>
            </w:r>
          </w:p>
        </w:tc>
        <w:tc>
          <w:tcPr>
            <w:tcW w:type="dxa" w:w="1728"/>
          </w:tcPr>
          <w:p>
            <w:pPr>
              <w:jc w:val="right"/>
            </w:pPr>
            <w:r>
              <w:t>3,292</w:t>
            </w:r>
          </w:p>
        </w:tc>
        <w:tc>
          <w:tcPr>
            <w:tcW w:type="dxa" w:w="1728"/>
          </w:tcPr>
          <w:p>
            <w:pPr>
              <w:jc w:val="right"/>
            </w:pPr>
            <w:r>
              <w:t>6.00</w:t>
            </w:r>
          </w:p>
        </w:tc>
        <w:tc>
          <w:tcPr>
            <w:tcW w:type="dxa" w:w="1728"/>
          </w:tcPr>
          <w:p>
            <w:pPr>
              <w:jc w:val="right"/>
            </w:pPr>
            <w:r>
              <w:t>-11,355</w:t>
            </w:r>
          </w:p>
        </w:tc>
      </w:tr>
    </w:tbl>
    <w:p>
      <w:r>
        <w:rPr>
          <w:sz w:val="17"/>
        </w:rPr>
        <w:t>Source: research panel, January 2023 to September 2026; free accounts by active projects, September 2026; the paper, section 4. Notewell was called Leafnote until April 2025, and its earlier months carry the old name.</w:t>
      </w:r>
    </w:p>
    <w:p>
      <w:pPr>
        <w:pStyle w:val="Heading2"/>
      </w:pPr>
      <w:r>
        <w:t>What the figure counts</w:t>
      </w:r>
    </w:p>
    <w:p>
      <w:r>
        <w:t>The limit reaches the 10,219 free accounts over three active projects in Ledgerline and the 3,035 expected to reach a fourth during 2027, each from the month after the limit stops it to the end of the year. A month on Plus counts at the Plus price and a month of free use at the free-plan revenue per active free account, both from the paper. The counts are every account; the year after a stop is the panel's, one account in twenty-five. Read with every stop rather than the first, with every unstopped free account as the comparison, or with the stops of any one year, Ledgerline stays first and its addition rounds to the same figure.</w:t>
      </w:r>
    </w:p>
    <w:p>
      <w:pPr>
        <w:pStyle w:val="Heading2"/>
      </w:pPr>
      <w:r>
        <w:t>Recurring revenue</w:t>
      </w:r>
    </w:p>
    <w:p>
      <w:r>
        <w:t>Each app's recurring revenue bridge for the year to 30 September 2026, on FIN-07, is in free_plan_limit_2027.xlsx for the board pack.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Brindlecote Software, Monetisation. Internal: executive team.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557</Words>
  <Characters>2689</Characters>
  <Application>Microsoft Office Word</Application>
  <DocSecurity>0</DocSecurity>
  <Lines>45</Lines>
  <Paragraphs>45</Paragraphs>
  <ScaleCrop>false</ScaleCrop>
  <HeadingPairs>
    <vt:vector size="2" baseType="variant">
      <vt:variant>
        <vt:lpstr>Title</vt:lpstr>
      </vt:variant>
      <vt:variant>
        <vt:i4>1</vt:i4>
      </vt:variant>
    </vt:vector>
  </HeadingPairs>
  <TitlesOfParts>
    <vt:vector size="1" baseType="lpstr">
      <vt:lpstr/>
    </vt:vector>
  </TitlesOfParts>
  <Manager/>
  <Company>Brindlecote Software Ltd</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plan limit: which app first</dc:title>
  <dc:creator>Frederick Nicholls</dc:creator>
  <cp:lastModifiedBy>Frederick Nicholls</cp:lastModifiedBy>
  <cp:revision>1</cp:revision>
  <dcterms:created xsi:type="dcterms:W3CDTF">2026-10-14T08:30:00Z</dcterms:created>
  <dcterms:modified xsi:type="dcterms:W3CDTF">2026-10-16T17:05:00Z</dcterms:modified>
</cp:coreProperties>
</file>