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Find-and-treat van 2027: the needle exchange's new registrants</w:t>
      </w:r>
    </w:p>
    <w:p>
      <w:r>
        <w:rPr>
          <w:color w:val="555555"/>
          <w:sz w:val="17"/>
        </w:rPr>
        <w:t>For decision. From Katie Reynolds, Director of Services, to the trustees' meeting of 12 November 2026. This paper completes the van plan of 6 October with the figures for the four settings.</w:t>
      </w:r>
    </w:p>
    <w:p>
      <w:r>
        <w:rPr>
          <w:b/>
        </w:rPr>
        <w:t>Recommendation: the van works the needle exchange pharmacies' new registrants in 2027. It would start about 50 people on hepatitis C treatment there, 20 more than at Fenwold Recovery's new entrants, the next best at about 30.</w:t>
      </w:r>
    </w:p>
    <w:p>
      <w:r>
        <w:t>For every person the peer team found antibody positive among each setting's arrivals in the last two years, we looked at whether they still had an active infection when they were tested, from every record of their testing and treatment: the network's treatment register, Fenwold Pathology's results and Corvane Health's prison course workbook. An antibody test stays reactive after a cure, so a positive kit alone does not tell us who the van can treat. A quarter of approved premises arrivals test antibody positive, but more than half of those positives had already been cured inside prison before they arrived, and the van would start about 10 people there. The needle exchange's new registrants are the people least reached by treatment so far, and most of their positives still have an active infection.</w:t>
      </w:r>
    </w:p>
    <w:p>
      <w:r>
        <w:t>What the van would find and start in 2027, by setting:</w:t>
      </w:r>
    </w:p>
    <w:tbl>
      <w:tblPr>
        <w:tblStyle w:val="LightList-Accent1"/>
        <w:tblW w:type="auto" w:w="0"/>
        <w:tblLook w:firstColumn="1" w:firstRow="1" w:lastColumn="0" w:lastRow="0" w:noHBand="0" w:noVBand="1" w:val="04A0"/>
      </w:tblPr>
      <w:tblGrid>
        <w:gridCol w:w="3286"/>
        <w:gridCol w:w="3286"/>
        <w:gridCol w:w="3286"/>
      </w:tblGrid>
      <w:tr>
        <w:tc>
          <w:tcPr>
            <w:tcW w:type="dxa" w:w="3286"/>
          </w:tcPr>
          <w:p>
            <w:r>
              <w:t>Setting</w:t>
            </w:r>
          </w:p>
        </w:tc>
        <w:tc>
          <w:tcPr>
            <w:tcW w:type="dxa" w:w="3286"/>
          </w:tcPr>
          <w:p>
            <w:pPr>
              <w:jc w:val="right"/>
            </w:pPr>
            <w:r>
              <w:t>Active infections found</w:t>
            </w:r>
          </w:p>
        </w:tc>
        <w:tc>
          <w:tcPr>
            <w:tcW w:type="dxa" w:w="3286"/>
          </w:tcPr>
          <w:p>
            <w:pPr>
              <w:jc w:val="right"/>
            </w:pPr>
            <w:r>
              <w:t>Started on treatment</w:t>
            </w:r>
          </w:p>
        </w:tc>
      </w:tr>
      <w:tr>
        <w:tc>
          <w:tcPr>
            <w:tcW w:type="dxa" w:w="3286"/>
          </w:tcPr>
          <w:p>
            <w:r>
              <w:t>Needle exchange new registrants</w:t>
            </w:r>
          </w:p>
        </w:tc>
        <w:tc>
          <w:tcPr>
            <w:tcW w:type="dxa" w:w="3286"/>
          </w:tcPr>
          <w:p>
            <w:pPr>
              <w:jc w:val="right"/>
            </w:pPr>
            <w:r>
              <w:t>70</w:t>
            </w:r>
          </w:p>
        </w:tc>
        <w:tc>
          <w:tcPr>
            <w:tcW w:type="dxa" w:w="3286"/>
          </w:tcPr>
          <w:p>
            <w:pPr>
              <w:jc w:val="right"/>
            </w:pPr>
            <w:r>
              <w:t>50</w:t>
            </w:r>
          </w:p>
        </w:tc>
      </w:tr>
      <w:tr>
        <w:tc>
          <w:tcPr>
            <w:tcW w:type="dxa" w:w="3286"/>
          </w:tcPr>
          <w:p>
            <w:r>
              <w:t>Fenwold Recovery new entrants</w:t>
            </w:r>
          </w:p>
        </w:tc>
        <w:tc>
          <w:tcPr>
            <w:tcW w:type="dxa" w:w="3286"/>
          </w:tcPr>
          <w:p>
            <w:pPr>
              <w:jc w:val="right"/>
            </w:pPr>
            <w:r>
              <w:t>40</w:t>
            </w:r>
          </w:p>
        </w:tc>
        <w:tc>
          <w:tcPr>
            <w:tcW w:type="dxa" w:w="3286"/>
          </w:tcPr>
          <w:p>
            <w:pPr>
              <w:jc w:val="right"/>
            </w:pPr>
            <w:r>
              <w:t>30</w:t>
            </w:r>
          </w:p>
        </w:tc>
      </w:tr>
      <w:tr>
        <w:tc>
          <w:tcPr>
            <w:tcW w:type="dxa" w:w="3286"/>
          </w:tcPr>
          <w:p>
            <w:r>
              <w:t>City hostels</w:t>
            </w:r>
          </w:p>
        </w:tc>
        <w:tc>
          <w:tcPr>
            <w:tcW w:type="dxa" w:w="3286"/>
          </w:tcPr>
          <w:p>
            <w:pPr>
              <w:jc w:val="right"/>
            </w:pPr>
            <w:r>
              <w:t>30</w:t>
            </w:r>
          </w:p>
        </w:tc>
        <w:tc>
          <w:tcPr>
            <w:tcW w:type="dxa" w:w="3286"/>
          </w:tcPr>
          <w:p>
            <w:pPr>
              <w:jc w:val="right"/>
            </w:pPr>
            <w:r>
              <w:t>20</w:t>
            </w:r>
          </w:p>
        </w:tc>
      </w:tr>
      <w:tr>
        <w:tc>
          <w:tcPr>
            <w:tcW w:type="dxa" w:w="3286"/>
          </w:tcPr>
          <w:p>
            <w:r>
              <w:t>Approved premises</w:t>
            </w:r>
          </w:p>
        </w:tc>
        <w:tc>
          <w:tcPr>
            <w:tcW w:type="dxa" w:w="3286"/>
          </w:tcPr>
          <w:p>
            <w:pPr>
              <w:jc w:val="right"/>
            </w:pPr>
            <w:r>
              <w:t>10</w:t>
            </w:r>
          </w:p>
        </w:tc>
        <w:tc>
          <w:tcPr>
            <w:tcW w:type="dxa" w:w="3286"/>
          </w:tcPr>
          <w:p>
            <w:pPr>
              <w:jc w:val="right"/>
            </w:pPr>
            <w:r>
              <w:t>10</w:t>
            </w:r>
          </w:p>
        </w:tc>
      </w:tr>
    </w:tbl>
    <w:p>
      <w:r>
        <w:rPr>
          <w:color w:val="555555"/>
          <w:sz w:val="16"/>
        </w:rPr>
        <w:t>People, rounded to the nearest 10; the unrounded figures are in the workbook. Sources: the settings' arrival returns and the peer testing log, October 2024 to September 2026; Fenwold Pathology; the network's treatment register; Corvane Health's course workbook; the 2018-19 pilot caseload.</w:t>
      </w:r>
    </w:p>
    <w:p>
      <w:r>
        <w:drawing>
          <wp:inline xmlns:a="http://schemas.openxmlformats.org/drawingml/2006/main" xmlns:pic="http://schemas.openxmlformats.org/drawingml/2006/picture">
            <wp:extent cx="5580000" cy="26156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2615625"/>
                    </a:xfrm>
                    <a:prstGeom prst="rect"/>
                  </pic:spPr>
                </pic:pic>
              </a:graphicData>
            </a:graphic>
          </wp:inline>
        </w:drawing>
      </w:r>
    </w:p>
    <w:p>
      <w:r>
        <w:rPr>
          <w:sz w:val="17"/>
        </w:rPr>
        <w:t>People started on treatment in 2027, by setting; the van's setting in blue.</w:t>
      </w:r>
    </w:p>
    <w:p>
      <w:r>
        <w:rPr>
          <w:b/>
        </w:rPr>
        <w:t>How we sized it</w:t>
      </w:r>
    </w:p>
    <w:p>
      <w:r>
        <w:t>A 2027 year is each setting's average yearly arrivals in the two years to September 2026, each person counted once in a year. The van tests 65 per cent of arrivals and starts 74 per cent of the people it finds with an active infection within twelve weeks, as in the 2018-19 pilot. For every arrival the peer team found antibody positive in those two years we took their status at the time of the test: cured where a course had a twelve-week test not detected and no later RNA was found, not counted where a course was still running, and otherwise the latest RNA result, including prison reception tests. Where no record says anything we used the 74 per cent of first positives Fenwold Pathology finds with RNA detected.</w:t>
      </w:r>
    </w:p>
    <w:p>
      <w:r>
        <w:t>People released from prison part-way through a course are carried by the van to the end of it but, as the plan sets out, are counted neither among the infections found nor among the starts. The nurse would carry well under the 70 courses she can hold at once in any of the four settings. Clinic outcomes for the network's last full year, October 2024 to September 2025, are in the workbook.</w:t>
      </w:r>
    </w:p>
    <w:sectPr w:rsidR="00FC693F" w:rsidRPr="0006063C" w:rsidSect="00034616">
      <w:footerReference w:type="default" r:id="rId9"/>
      <w:pgSz w:w="12240" w:h="15840"/>
      <w:pgMar w:top="1020" w:right="1191" w:bottom="144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Brannock Trust. Trustees' meeting, 12 November 2026. For decision.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509</Words>
  <Characters>2497</Characters>
  <Application>Microsoft Office Word</Application>
  <DocSecurity>0</DocSecurity>
  <Lines>33</Lines>
  <Paragraphs>25</Paragraphs>
  <ScaleCrop>false</ScaleCrop>
  <HeadingPairs>
    <vt:vector size="2" baseType="variant">
      <vt:variant>
        <vt:lpstr>Title</vt:lpstr>
      </vt:variant>
      <vt:variant>
        <vt:i4>1</vt:i4>
      </vt:variant>
    </vt:vector>
  </HeadingPairs>
  <TitlesOfParts>
    <vt:vector size="1" baseType="lpstr">
      <vt:lpstr/>
    </vt:vector>
  </TitlesOfParts>
  <Manager/>
  <Company>Brannock Trust</Company>
  <LinksUpToDate>false</LinksUpToDate>
  <CharactersWithSpaces>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Find-and-treat van 2027</dc:title>
  <dc:creator>Katie Reynolds</dc:creator>
  <cp:lastModifiedBy>Katie Reynolds</cp:lastModifiedBy>
  <cp:revision>1</cp:revision>
  <dcterms:created xsi:type="dcterms:W3CDTF">2026-10-19T09:10:00Z</dcterms:created>
  <dcterms:modified xsi:type="dcterms:W3CDTF">2026-10-21T15:35:00Z</dcterms:modified>
</cp:coreProperties>
</file>