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 xml:space="preserve">To: </w:t>
      </w:r>
      <w:r>
        <w:t>Executive Committee</w:t>
      </w:r>
    </w:p>
    <w:p>
      <w:pPr>
        <w:spacing w:after="0"/>
      </w:pPr>
      <w:r>
        <w:rPr>
          <w:b/>
        </w:rPr>
        <w:t xml:space="preserve">From: </w:t>
      </w:r>
      <w:r>
        <w:t>Elizabeth Marquez, Director, Collections Operations</w:t>
      </w:r>
    </w:p>
    <w:p>
      <w:pPr>
        <w:spacing w:after="0"/>
      </w:pPr>
      <w:r>
        <w:rPr>
          <w:b/>
        </w:rPr>
        <w:t xml:space="preserve">Date: </w:t>
      </w:r>
      <w:r>
        <w:t>14 October 2026</w:t>
      </w:r>
    </w:p>
    <w:p>
      <w:pPr>
        <w:spacing w:after="0"/>
      </w:pPr>
      <w:r>
        <w:rPr>
          <w:b/>
        </w:rPr>
        <w:t xml:space="preserve">Re: </w:t>
      </w:r>
      <w:r>
        <w:t>Budget line C-01: the 2027 early-stage team</w:t>
      </w:r>
    </w:p>
    <w:p>
      <w:pPr>
        <w:spacing w:after="0"/>
      </w:pPr>
      <w:r>
        <w:rPr>
          <w:b/>
        </w:rPr>
        <w:t xml:space="preserve">Data: </w:t>
      </w:r>
      <w:r>
        <w:t>Collections MI extracts of 9 October 2026</w:t>
      </w:r>
    </w:p>
    <w:p/>
    <w:p>
      <w:r>
        <w:rPr>
          <w:b/>
          <w:color w:val="1F3A5F"/>
        </w:rPr>
        <w:t>Recommendation: return budget line C-01. No centre's new team clears the CP-14 funding line of 694 rolls; London comes closest at about 500 rolls a year, 200 short.</w:t>
      </w:r>
    </w:p>
    <w:p>
      <w:r>
        <w:t>I sized each centre as CP-14 section 6 sets out, on its 30-day lists of July 2025 to June 2026. Our teams only run out of shift on the collections days of cycles 04 and 13, the two cycles that carry the 2024 student-card campaign; on those 24 days the records left at the bottom of each list when the campaign closed are the accounts a second team would have called. Because the list loads in the card platform's extract order, they are like-for-like with the records above them on the same list, so the difference in rolls between the two is what a call does. The dialler only checks the do-not-call file and the number when it reaches a record, so the records it skipped stay with the records it reached, and the effect is scaled to the records it actually dialled.</w:t>
      </w:r>
    </w:p>
    <w:p>
      <w:r>
        <w:t>The new team is rated at 400 accounts dialled a day (C-01). At four centres it would have dialled every diallable record their teams left; at London, where the student-card cycles leave well over 400 a day, it would have dialled its 400 each of those days, 9,600 dials in the year at 5.2 rolls prevented per 100 dials.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Centre</w:t>
            </w:r>
          </w:p>
        </w:tc>
        <w:tc>
          <w:tcPr>
            <w:tcW w:type="dxa" w:w="2880"/>
          </w:tcPr>
          <w:p>
            <w:r>
              <w:t>Rolls prevented a year (nearest 100)</w:t>
            </w:r>
          </w:p>
        </w:tc>
        <w:tc>
          <w:tcPr>
            <w:tcW w:type="dxa" w:w="2880"/>
          </w:tcPr>
          <w:p>
            <w:r>
              <w:t>Against the 694 line</w:t>
            </w:r>
          </w:p>
        </w:tc>
      </w:tr>
      <w:tr>
        <w:tc>
          <w:tcPr>
            <w:tcW w:type="dxa" w:w="2880"/>
          </w:tcPr>
          <w:p>
            <w:r>
              <w:t>London</w:t>
            </w:r>
          </w:p>
        </w:tc>
        <w:tc>
          <w:tcPr>
            <w:tcW w:type="dxa" w:w="2880"/>
          </w:tcPr>
          <w:p>
            <w:r>
              <w:t>500</w:t>
            </w:r>
          </w:p>
        </w:tc>
        <w:tc>
          <w:tcPr>
            <w:tcW w:type="dxa" w:w="2880"/>
          </w:tcPr>
          <w:p>
            <w:r>
              <w:t>short by 200</w:t>
            </w:r>
          </w:p>
        </w:tc>
      </w:tr>
      <w:tr>
        <w:tc>
          <w:tcPr>
            <w:tcW w:type="dxa" w:w="2880"/>
          </w:tcPr>
          <w:p>
            <w:r>
              <w:t>Kingston</w:t>
            </w:r>
          </w:p>
        </w:tc>
        <w:tc>
          <w:tcPr>
            <w:tcW w:type="dxa" w:w="2880"/>
          </w:tcPr>
          <w:p>
            <w:r>
              <w:t>200</w:t>
            </w:r>
          </w:p>
        </w:tc>
        <w:tc>
          <w:tcPr>
            <w:tcW w:type="dxa" w:w="2880"/>
          </w:tcPr>
          <w:p>
            <w:r>
              <w:t>short by 500</w:t>
            </w:r>
          </w:p>
        </w:tc>
      </w:tr>
      <w:tr>
        <w:tc>
          <w:tcPr>
            <w:tcW w:type="dxa" w:w="2880"/>
          </w:tcPr>
          <w:p>
            <w:r>
              <w:t>Winnipeg</w:t>
            </w:r>
          </w:p>
        </w:tc>
        <w:tc>
          <w:tcPr>
            <w:tcW w:type="dxa" w:w="2880"/>
          </w:tcPr>
          <w:p>
            <w:r>
              <w:t>200</w:t>
            </w:r>
          </w:p>
        </w:tc>
        <w:tc>
          <w:tcPr>
            <w:tcW w:type="dxa" w:w="2880"/>
          </w:tcPr>
          <w:p>
            <w:r>
              <w:t>short by 500</w:t>
            </w:r>
          </w:p>
        </w:tc>
      </w:tr>
      <w:tr>
        <w:tc>
          <w:tcPr>
            <w:tcW w:type="dxa" w:w="2880"/>
          </w:tcPr>
          <w:p>
            <w:r>
              <w:t>Sudbury</w:t>
            </w:r>
          </w:p>
        </w:tc>
        <w:tc>
          <w:tcPr>
            <w:tcW w:type="dxa" w:w="2880"/>
          </w:tcPr>
          <w:p>
            <w:r>
              <w:t>100</w:t>
            </w:r>
          </w:p>
        </w:tc>
        <w:tc>
          <w:tcPr>
            <w:tcW w:type="dxa" w:w="2880"/>
          </w:tcPr>
          <w:p>
            <w:r>
              <w:t>short by 600</w:t>
            </w:r>
          </w:p>
        </w:tc>
      </w:tr>
      <w:tr>
        <w:tc>
          <w:tcPr>
            <w:tcW w:type="dxa" w:w="2880"/>
          </w:tcPr>
          <w:p>
            <w:r>
              <w:t>Thunder Bay</w:t>
            </w:r>
          </w:p>
        </w:tc>
        <w:tc>
          <w:tcPr>
            <w:tcW w:type="dxa" w:w="2880"/>
          </w:tcPr>
          <w:p>
            <w:r>
              <w:t>100</w:t>
            </w:r>
          </w:p>
        </w:tc>
        <w:tc>
          <w:tcPr>
            <w:tcW w:type="dxa" w:w="2880"/>
          </w:tcPr>
          <w:p>
            <w:r>
              <w:t>short by 600</w:t>
            </w:r>
          </w:p>
        </w:tc>
      </w:tr>
    </w:tbl>
    <w:p>
      <w:r>
        <w:rPr>
          <w:i/>
          <w:sz w:val="17"/>
        </w:rPr>
        <w:t>Source: dialler list export and card delinquency history, list days July 2025 to June 2026; rolls rounded to the nearest 100.</w:t>
      </w:r>
    </w:p>
    <w:p>
      <w:r>
        <w:t>What each team's calls achieved over the same year, for the committee's reference: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Centre</w:t>
            </w:r>
          </w:p>
        </w:tc>
        <w:tc>
          <w:tcPr>
            <w:tcW w:type="dxa" w:w="2160"/>
          </w:tcPr>
          <w:p>
            <w:r>
              <w:t>Right-party contacts per 100 accounts dialled</w:t>
            </w:r>
          </w:p>
        </w:tc>
        <w:tc>
          <w:tcPr>
            <w:tcW w:type="dxa" w:w="2160"/>
          </w:tcPr>
          <w:p>
            <w:r>
              <w:t>Promises to pay per 100 contacts</w:t>
            </w:r>
          </w:p>
        </w:tc>
        <w:tc>
          <w:tcPr>
            <w:tcW w:type="dxa" w:w="2160"/>
          </w:tcPr>
          <w:p>
            <w:r>
              <w:t>Balances placed on arrangements (CAD, nearest 100,000)</w:t>
            </w:r>
          </w:p>
        </w:tc>
      </w:tr>
      <w:tr>
        <w:tc>
          <w:tcPr>
            <w:tcW w:type="dxa" w:w="2160"/>
          </w:tcPr>
          <w:p>
            <w:r>
              <w:t>London</w:t>
            </w:r>
          </w:p>
        </w:tc>
        <w:tc>
          <w:tcPr>
            <w:tcW w:type="dxa" w:w="2160"/>
          </w:tcPr>
          <w:p>
            <w:r>
              <w:t>49.3</w:t>
            </w:r>
          </w:p>
        </w:tc>
        <w:tc>
          <w:tcPr>
            <w:tcW w:type="dxa" w:w="2160"/>
          </w:tcPr>
          <w:p>
            <w:r>
              <w:t>37.6</w:t>
            </w:r>
          </w:p>
        </w:tc>
        <w:tc>
          <w:tcPr>
            <w:tcW w:type="dxa" w:w="2160"/>
          </w:tcPr>
          <w:p>
            <w:r>
              <w:t>15,500,000</w:t>
            </w:r>
          </w:p>
        </w:tc>
      </w:tr>
      <w:tr>
        <w:tc>
          <w:tcPr>
            <w:tcW w:type="dxa" w:w="2160"/>
          </w:tcPr>
          <w:p>
            <w:r>
              <w:t>Kingston</w:t>
            </w:r>
          </w:p>
        </w:tc>
        <w:tc>
          <w:tcPr>
            <w:tcW w:type="dxa" w:w="2160"/>
          </w:tcPr>
          <w:p>
            <w:r>
              <w:t>57.2</w:t>
            </w:r>
          </w:p>
        </w:tc>
        <w:tc>
          <w:tcPr>
            <w:tcW w:type="dxa" w:w="2160"/>
          </w:tcPr>
          <w:p>
            <w:r>
              <w:t>39.1</w:t>
            </w:r>
          </w:p>
        </w:tc>
        <w:tc>
          <w:tcPr>
            <w:tcW w:type="dxa" w:w="2160"/>
          </w:tcPr>
          <w:p>
            <w:r>
              <w:t>14,300,000</w:t>
            </w:r>
          </w:p>
        </w:tc>
      </w:tr>
      <w:tr>
        <w:tc>
          <w:tcPr>
            <w:tcW w:type="dxa" w:w="2160"/>
          </w:tcPr>
          <w:p>
            <w:r>
              <w:t>Winnipeg</w:t>
            </w:r>
          </w:p>
        </w:tc>
        <w:tc>
          <w:tcPr>
            <w:tcW w:type="dxa" w:w="2160"/>
          </w:tcPr>
          <w:p>
            <w:r>
              <w:t>52.8</w:t>
            </w:r>
          </w:p>
        </w:tc>
        <w:tc>
          <w:tcPr>
            <w:tcW w:type="dxa" w:w="2160"/>
          </w:tcPr>
          <w:p>
            <w:r>
              <w:t>40.3</w:t>
            </w:r>
          </w:p>
        </w:tc>
        <w:tc>
          <w:tcPr>
            <w:tcW w:type="dxa" w:w="2160"/>
          </w:tcPr>
          <w:p>
            <w:r>
              <w:t>16,000,000</w:t>
            </w:r>
          </w:p>
        </w:tc>
      </w:tr>
      <w:tr>
        <w:tc>
          <w:tcPr>
            <w:tcW w:type="dxa" w:w="2160"/>
          </w:tcPr>
          <w:p>
            <w:r>
              <w:t>Sudbury</w:t>
            </w:r>
          </w:p>
        </w:tc>
        <w:tc>
          <w:tcPr>
            <w:tcW w:type="dxa" w:w="2160"/>
          </w:tcPr>
          <w:p>
            <w:r>
              <w:t>54.6</w:t>
            </w:r>
          </w:p>
        </w:tc>
        <w:tc>
          <w:tcPr>
            <w:tcW w:type="dxa" w:w="2160"/>
          </w:tcPr>
          <w:p>
            <w:r>
              <w:t>36.4</w:t>
            </w:r>
          </w:p>
        </w:tc>
        <w:tc>
          <w:tcPr>
            <w:tcW w:type="dxa" w:w="2160"/>
          </w:tcPr>
          <w:p>
            <w:r>
              <w:t>10,100,000</w:t>
            </w:r>
          </w:p>
        </w:tc>
      </w:tr>
      <w:tr>
        <w:tc>
          <w:tcPr>
            <w:tcW w:type="dxa" w:w="2160"/>
          </w:tcPr>
          <w:p>
            <w:r>
              <w:t>Thunder Bay</w:t>
            </w:r>
          </w:p>
        </w:tc>
        <w:tc>
          <w:tcPr>
            <w:tcW w:type="dxa" w:w="2160"/>
          </w:tcPr>
          <w:p>
            <w:r>
              <w:t>50.4</w:t>
            </w:r>
          </w:p>
        </w:tc>
        <w:tc>
          <w:tcPr>
            <w:tcW w:type="dxa" w:w="2160"/>
          </w:tcPr>
          <w:p>
            <w:r>
              <w:t>41.2</w:t>
            </w:r>
          </w:p>
        </w:tc>
        <w:tc>
          <w:tcPr>
            <w:tcW w:type="dxa" w:w="2160"/>
          </w:tcPr>
          <w:p>
            <w:r>
              <w:t>7,000,000</w:t>
            </w:r>
          </w:p>
        </w:tc>
      </w:tr>
    </w:tbl>
    <w:p>
      <w:r>
        <w:rPr>
          <w:i/>
          <w:sz w:val="17"/>
        </w:rPr>
        <w:t>Source: dialler list export (July 2025 to June 2026 list days) and arrangement system extract (arrangements set up in the same months).</w:t>
      </w:r>
    </w:p>
    <w:p>
      <w:r>
        <w:rPr>
          <w:i/>
          <w:sz w:val="18"/>
        </w:rPr>
        <w:t>Notes. Contacts count an account each day it was dialled. Before each centre's move to the CX2 dialler (20 October 2025 in Ontario, 17 November 2025 in Winnipeg) the old dialler coded an arrangement AR, the code CX2 now uses for an answering machine; those calls are counted as contacts. Arrangement balances on US-dollar cards are converted at Treasury's booking rate on the set-up day.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Case under Credit Policy CP-14 section 6, filed with the 2027 budget request.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Ferncliffe Trust Bank  |  Collections Operations  |  For the Executive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Ferncliffe Trust Bank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early-stage team</dc:title>
  <dc:creator>Elizabeth Marquez</dc:creator>
  <cp:lastModifiedBy>Elizabeth Marquez</cp:lastModifiedBy>
  <dcterms:created xsi:type="dcterms:W3CDTF">2026-10-13T20:14:00Z</dcterms:created>
  <dcterms:modified xsi:type="dcterms:W3CDTF">2026-10-14T13:02:00Z</dcterms:modified>
</cp:coreProperties>
</file>