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i/>
          <w:sz w:val="17"/>
        </w:rPr>
        <w:t>Tamarack Hydro Distribution  |  P&amp;C Asset Planning</w:t>
      </w:r>
    </w:p>
    <w:p>
      <w:pPr>
        <w:spacing w:after="40"/>
      </w:pPr>
      <w:r>
        <w:rPr>
          <w:b/>
          <w:i w:val="0"/>
          <w:sz w:val="24"/>
        </w:rPr>
        <w:t>MEMO</w:t>
      </w:r>
    </w:p>
    <w:p>
      <w:pPr>
        <w:spacing w:after="0"/>
      </w:pPr>
      <w:r>
        <w:rPr>
          <w:b/>
        </w:rPr>
        <w:t>To:</w:t>
        <w:tab/>
      </w:r>
      <w:r>
        <w:t>Susan Huff, Director, Asset Management</w:t>
      </w:r>
    </w:p>
    <w:p>
      <w:pPr>
        <w:spacing w:after="0"/>
      </w:pPr>
      <w:r>
        <w:rPr>
          <w:b/>
        </w:rPr>
        <w:t>From:</w:t>
        <w:tab/>
      </w:r>
      <w:r>
        <w:t>Rachael Villanueva, Manager, P&amp;C Asset Planning</w:t>
      </w:r>
    </w:p>
    <w:p>
      <w:pPr>
        <w:spacing w:after="0"/>
      </w:pPr>
      <w:r>
        <w:rPr>
          <w:b/>
        </w:rPr>
        <w:t>Date:</w:t>
        <w:tab/>
      </w:r>
      <w:r>
        <w:t>7 October 2026</w:t>
      </w:r>
    </w:p>
    <w:p>
      <w:pPr>
        <w:spacing w:after="0"/>
      </w:pPr>
      <w:r>
        <w:rPr>
          <w:b/>
        </w:rPr>
        <w:t>Re:</w:t>
        <w:tab/>
      </w:r>
      <w:r>
        <w:t>Last-time buy of VPR-340 power supply modules (Veldtek EOL-2026-07)</w:t>
      </w:r>
    </w:p>
    <w:p>
      <w:pPr>
        <w:spacing w:after="80"/>
      </w:pPr>
      <w:r>
        <w:rPr>
          <w:b w:val="0"/>
          <w:i w:val="0"/>
        </w:rPr>
      </w:r>
    </w:p>
    <w:p>
      <w:pPr>
        <w:spacing w:after="120"/>
      </w:pPr>
      <w:r>
        <w:rPr>
          <w:b/>
          <w:i w:val="0"/>
          <w:sz w:val="23"/>
        </w:rPr>
        <w:t>Order 19 lots (475 modules) of VPR340-PSU-02 for CAD 933,375 before Veldtek's 15 December deadline.</w:t>
      </w:r>
    </w:p>
    <w:p>
      <w:pPr>
        <w:spacing w:after="120"/>
      </w:pPr>
      <w:r>
        <w:rPr>
          <w:b w:val="0"/>
          <w:i w:val="0"/>
        </w:rPr>
        <w:t>With the 39 modules we can use today, 19 lots give a 98.3 per cent chance of covering every power supply failure until the renewal programme reaches each substation, against the 95 per cent AM-PC-014 asks for. 18 lots fall short at 84.2 per cent. We expect 467.8 failures between October 2026 and the end of support, most of them in 2027 to 2031 while the fleet is still large and ageing into its wear-out years.</w:t>
      </w:r>
    </w:p>
    <w:p>
      <w:pPr>
        <w:spacing w:after="120"/>
      </w:pPr>
      <w:r>
        <w:rPr>
          <w:b w:val="0"/>
          <w:i w:val="0"/>
        </w:rPr>
        <w:t>How the figure is built. Failure rates are set for the AM-PC-014 age bands, from the PSU failures in the EAM work-order history over the relay-years the fleet spent in each band since that history began in January 2021. The older bands fail several times faster than the fleet average, and the relays that stay longest are the ones that keep ageing, so the rate of the last twelve months understates what is coming. Each in-service relay then contributes its months to each band until its substation's commissioning month in the approved 2026 programme.</w:t>
      </w:r>
    </w:p>
    <w:p>
      <w:pPr>
        <w:jc w:val="center"/>
      </w:pPr>
      <w:r>
        <w:drawing>
          <wp:inline xmlns:a="http://schemas.openxmlformats.org/drawingml/2006/main" xmlns:pic="http://schemas.openxmlformats.org/drawingml/2006/picture">
            <wp:extent cx="5400000" cy="2025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2025000"/>
                    </a:xfrm>
                    <a:prstGeom prst="rect"/>
                  </pic:spPr>
                </pic:pic>
              </a:graphicData>
            </a:graphic>
          </wp:inline>
        </w:drawing>
      </w:r>
    </w:p>
    <w:p>
      <w:pPr>
        <w:spacing w:after="160"/>
      </w:pPr>
      <w:r>
        <w:rPr>
          <w:b w:val="0"/>
          <w:i/>
          <w:sz w:val="17"/>
        </w:rPr>
        <w:t>Expected failures by year (one decimal) from the workbook's Outlook sheet; Q4 2026 is October to December.</w:t>
      </w:r>
    </w:p>
    <w:tbl>
      <w:tblPr>
        <w:tblStyle w:val="TableGrid"/>
        <w:tblW w:type="auto" w:w="0"/>
        <w:tblLook w:firstColumn="1" w:firstRow="1" w:lastColumn="0" w:lastRow="0" w:noHBand="0" w:noVBand="1" w:val="04A0"/>
      </w:tblPr>
      <w:tblGrid>
        <w:gridCol w:w="2408"/>
        <w:gridCol w:w="2408"/>
        <w:gridCol w:w="2408"/>
        <w:gridCol w:w="2408"/>
      </w:tblGrid>
      <w:tr>
        <w:tc>
          <w:tcPr>
            <w:tcW w:type="dxa" w:w="2408"/>
          </w:tcPr>
          <w:p>
            <w:pPr>
              <w:spacing w:after="0"/>
            </w:pPr>
            <w:r/>
            <w:r>
              <w:rPr>
                <w:b/>
                <w:sz w:val="18"/>
              </w:rPr>
              <w:t>Lots ordered</w:t>
            </w:r>
          </w:p>
        </w:tc>
        <w:tc>
          <w:tcPr>
            <w:tcW w:type="dxa" w:w="2408"/>
          </w:tcPr>
          <w:p>
            <w:pPr>
              <w:spacing w:after="0"/>
              <w:jc w:val="right"/>
            </w:pPr>
            <w:r/>
            <w:r>
              <w:rPr>
                <w:b/>
                <w:sz w:val="18"/>
              </w:rPr>
              <w:t>Modules available with the buy</w:t>
            </w:r>
          </w:p>
        </w:tc>
        <w:tc>
          <w:tcPr>
            <w:tcW w:type="dxa" w:w="2408"/>
          </w:tcPr>
          <w:p>
            <w:pPr>
              <w:spacing w:after="0"/>
              <w:jc w:val="right"/>
            </w:pPr>
            <w:r/>
            <w:r>
              <w:rPr>
                <w:b/>
                <w:sz w:val="18"/>
              </w:rPr>
              <w:t>Cover (%)</w:t>
            </w:r>
          </w:p>
        </w:tc>
        <w:tc>
          <w:tcPr>
            <w:tcW w:type="dxa" w:w="2408"/>
          </w:tcPr>
          <w:p>
            <w:pPr>
              <w:spacing w:after="0"/>
              <w:jc w:val="right"/>
            </w:pPr>
            <w:r/>
            <w:r>
              <w:rPr>
                <w:b/>
                <w:sz w:val="18"/>
              </w:rPr>
              <w:t>Cost (CAD)</w:t>
            </w:r>
          </w:p>
        </w:tc>
      </w:tr>
      <w:tr>
        <w:tc>
          <w:tcPr>
            <w:tcW w:type="dxa" w:w="2408"/>
          </w:tcPr>
          <w:p>
            <w:pPr>
              <w:spacing w:after="0"/>
            </w:pPr>
            <w:r/>
            <w:r>
              <w:rPr>
                <w:b w:val="0"/>
                <w:sz w:val="18"/>
              </w:rPr>
              <w:t>15</w:t>
            </w:r>
          </w:p>
        </w:tc>
        <w:tc>
          <w:tcPr>
            <w:tcW w:type="dxa" w:w="2408"/>
          </w:tcPr>
          <w:p>
            <w:pPr>
              <w:spacing w:after="0"/>
              <w:jc w:val="right"/>
            </w:pPr>
            <w:r/>
            <w:r>
              <w:rPr>
                <w:b w:val="0"/>
                <w:sz w:val="18"/>
              </w:rPr>
              <w:t>414</w:t>
            </w:r>
          </w:p>
        </w:tc>
        <w:tc>
          <w:tcPr>
            <w:tcW w:type="dxa" w:w="2408"/>
          </w:tcPr>
          <w:p>
            <w:pPr>
              <w:spacing w:after="0"/>
              <w:jc w:val="right"/>
            </w:pPr>
            <w:r/>
            <w:r>
              <w:rPr>
                <w:b w:val="0"/>
                <w:sz w:val="18"/>
              </w:rPr>
              <w:t>0.6</w:t>
            </w:r>
          </w:p>
        </w:tc>
        <w:tc>
          <w:tcPr>
            <w:tcW w:type="dxa" w:w="2408"/>
          </w:tcPr>
          <w:p>
            <w:pPr>
              <w:spacing w:after="0"/>
              <w:jc w:val="right"/>
            </w:pPr>
            <w:r/>
            <w:r>
              <w:rPr>
                <w:b w:val="0"/>
                <w:sz w:val="18"/>
              </w:rPr>
              <w:t>736,875</w:t>
            </w:r>
          </w:p>
        </w:tc>
      </w:tr>
      <w:tr>
        <w:tc>
          <w:tcPr>
            <w:tcW w:type="dxa" w:w="2408"/>
          </w:tcPr>
          <w:p>
            <w:pPr>
              <w:spacing w:after="0"/>
            </w:pPr>
            <w:r/>
            <w:r>
              <w:rPr>
                <w:b w:val="0"/>
                <w:sz w:val="18"/>
              </w:rPr>
              <w:t>16</w:t>
            </w:r>
          </w:p>
        </w:tc>
        <w:tc>
          <w:tcPr>
            <w:tcW w:type="dxa" w:w="2408"/>
          </w:tcPr>
          <w:p>
            <w:pPr>
              <w:spacing w:after="0"/>
              <w:jc w:val="right"/>
            </w:pPr>
            <w:r/>
            <w:r>
              <w:rPr>
                <w:b w:val="0"/>
                <w:sz w:val="18"/>
              </w:rPr>
              <w:t>439</w:t>
            </w:r>
          </w:p>
        </w:tc>
        <w:tc>
          <w:tcPr>
            <w:tcW w:type="dxa" w:w="2408"/>
          </w:tcPr>
          <w:p>
            <w:pPr>
              <w:spacing w:after="0"/>
              <w:jc w:val="right"/>
            </w:pPr>
            <w:r/>
            <w:r>
              <w:rPr>
                <w:b w:val="0"/>
                <w:sz w:val="18"/>
              </w:rPr>
              <w:t>9.4</w:t>
            </w:r>
          </w:p>
        </w:tc>
        <w:tc>
          <w:tcPr>
            <w:tcW w:type="dxa" w:w="2408"/>
          </w:tcPr>
          <w:p>
            <w:pPr>
              <w:spacing w:after="0"/>
              <w:jc w:val="right"/>
            </w:pPr>
            <w:r/>
            <w:r>
              <w:rPr>
                <w:b w:val="0"/>
                <w:sz w:val="18"/>
              </w:rPr>
              <w:t>786,000</w:t>
            </w:r>
          </w:p>
        </w:tc>
      </w:tr>
      <w:tr>
        <w:tc>
          <w:tcPr>
            <w:tcW w:type="dxa" w:w="2408"/>
          </w:tcPr>
          <w:p>
            <w:pPr>
              <w:spacing w:after="0"/>
            </w:pPr>
            <w:r/>
            <w:r>
              <w:rPr>
                <w:b w:val="0"/>
                <w:sz w:val="18"/>
              </w:rPr>
              <w:t>17</w:t>
            </w:r>
          </w:p>
        </w:tc>
        <w:tc>
          <w:tcPr>
            <w:tcW w:type="dxa" w:w="2408"/>
          </w:tcPr>
          <w:p>
            <w:pPr>
              <w:spacing w:after="0"/>
              <w:jc w:val="right"/>
            </w:pPr>
            <w:r/>
            <w:r>
              <w:rPr>
                <w:b w:val="0"/>
                <w:sz w:val="18"/>
              </w:rPr>
              <w:t>464</w:t>
            </w:r>
          </w:p>
        </w:tc>
        <w:tc>
          <w:tcPr>
            <w:tcW w:type="dxa" w:w="2408"/>
          </w:tcPr>
          <w:p>
            <w:pPr>
              <w:spacing w:after="0"/>
              <w:jc w:val="right"/>
            </w:pPr>
            <w:r/>
            <w:r>
              <w:rPr>
                <w:b w:val="0"/>
                <w:sz w:val="18"/>
              </w:rPr>
              <w:t>44.2</w:t>
            </w:r>
          </w:p>
        </w:tc>
        <w:tc>
          <w:tcPr>
            <w:tcW w:type="dxa" w:w="2408"/>
          </w:tcPr>
          <w:p>
            <w:pPr>
              <w:spacing w:after="0"/>
              <w:jc w:val="right"/>
            </w:pPr>
            <w:r/>
            <w:r>
              <w:rPr>
                <w:b w:val="0"/>
                <w:sz w:val="18"/>
              </w:rPr>
              <w:t>835,125</w:t>
            </w:r>
          </w:p>
        </w:tc>
      </w:tr>
      <w:tr>
        <w:tc>
          <w:tcPr>
            <w:tcW w:type="dxa" w:w="2408"/>
          </w:tcPr>
          <w:p>
            <w:pPr>
              <w:spacing w:after="0"/>
            </w:pPr>
            <w:r/>
            <w:r>
              <w:rPr>
                <w:b w:val="0"/>
                <w:sz w:val="18"/>
              </w:rPr>
              <w:t>18</w:t>
            </w:r>
          </w:p>
        </w:tc>
        <w:tc>
          <w:tcPr>
            <w:tcW w:type="dxa" w:w="2408"/>
          </w:tcPr>
          <w:p>
            <w:pPr>
              <w:spacing w:after="0"/>
              <w:jc w:val="right"/>
            </w:pPr>
            <w:r/>
            <w:r>
              <w:rPr>
                <w:b w:val="0"/>
                <w:sz w:val="18"/>
              </w:rPr>
              <w:t>489</w:t>
            </w:r>
          </w:p>
        </w:tc>
        <w:tc>
          <w:tcPr>
            <w:tcW w:type="dxa" w:w="2408"/>
          </w:tcPr>
          <w:p>
            <w:pPr>
              <w:spacing w:after="0"/>
              <w:jc w:val="right"/>
            </w:pPr>
            <w:r/>
            <w:r>
              <w:rPr>
                <w:b w:val="0"/>
                <w:sz w:val="18"/>
              </w:rPr>
              <w:t>84.2</w:t>
            </w:r>
          </w:p>
        </w:tc>
        <w:tc>
          <w:tcPr>
            <w:tcW w:type="dxa" w:w="2408"/>
          </w:tcPr>
          <w:p>
            <w:pPr>
              <w:spacing w:after="0"/>
              <w:jc w:val="right"/>
            </w:pPr>
            <w:r/>
            <w:r>
              <w:rPr>
                <w:b w:val="0"/>
                <w:sz w:val="18"/>
              </w:rPr>
              <w:t>884,250</w:t>
            </w:r>
          </w:p>
        </w:tc>
      </w:tr>
      <w:tr>
        <w:tc>
          <w:tcPr>
            <w:tcW w:type="dxa" w:w="2408"/>
          </w:tcPr>
          <w:p>
            <w:pPr>
              <w:spacing w:after="0"/>
            </w:pPr>
            <w:r/>
            <w:r>
              <w:rPr>
                <w:b/>
                <w:sz w:val="18"/>
              </w:rPr>
              <w:t>19</w:t>
            </w:r>
          </w:p>
        </w:tc>
        <w:tc>
          <w:tcPr>
            <w:tcW w:type="dxa" w:w="2408"/>
          </w:tcPr>
          <w:p>
            <w:pPr>
              <w:spacing w:after="0"/>
              <w:jc w:val="right"/>
            </w:pPr>
            <w:r/>
            <w:r>
              <w:rPr>
                <w:b/>
                <w:sz w:val="18"/>
              </w:rPr>
              <w:t>514</w:t>
            </w:r>
          </w:p>
        </w:tc>
        <w:tc>
          <w:tcPr>
            <w:tcW w:type="dxa" w:w="2408"/>
          </w:tcPr>
          <w:p>
            <w:pPr>
              <w:spacing w:after="0"/>
              <w:jc w:val="right"/>
            </w:pPr>
            <w:r/>
            <w:r>
              <w:rPr>
                <w:b/>
                <w:sz w:val="18"/>
              </w:rPr>
              <w:t>98.3</w:t>
            </w:r>
          </w:p>
        </w:tc>
        <w:tc>
          <w:tcPr>
            <w:tcW w:type="dxa" w:w="2408"/>
          </w:tcPr>
          <w:p>
            <w:pPr>
              <w:spacing w:after="0"/>
              <w:jc w:val="right"/>
            </w:pPr>
            <w:r/>
            <w:r>
              <w:rPr>
                <w:b/>
                <w:sz w:val="18"/>
              </w:rPr>
              <w:t>933,375</w:t>
            </w:r>
          </w:p>
        </w:tc>
      </w:tr>
      <w:tr>
        <w:tc>
          <w:tcPr>
            <w:tcW w:type="dxa" w:w="2408"/>
          </w:tcPr>
          <w:p>
            <w:pPr>
              <w:spacing w:after="0"/>
            </w:pPr>
            <w:r/>
            <w:r>
              <w:rPr>
                <w:b w:val="0"/>
                <w:sz w:val="18"/>
              </w:rPr>
              <w:t>20</w:t>
            </w:r>
          </w:p>
        </w:tc>
        <w:tc>
          <w:tcPr>
            <w:tcW w:type="dxa" w:w="2408"/>
          </w:tcPr>
          <w:p>
            <w:pPr>
              <w:spacing w:after="0"/>
              <w:jc w:val="right"/>
            </w:pPr>
            <w:r/>
            <w:r>
              <w:rPr>
                <w:b w:val="0"/>
                <w:sz w:val="18"/>
              </w:rPr>
              <w:t>539</w:t>
            </w:r>
          </w:p>
        </w:tc>
        <w:tc>
          <w:tcPr>
            <w:tcW w:type="dxa" w:w="2408"/>
          </w:tcPr>
          <w:p>
            <w:pPr>
              <w:spacing w:after="0"/>
              <w:jc w:val="right"/>
            </w:pPr>
            <w:r/>
            <w:r>
              <w:rPr>
                <w:b w:val="0"/>
                <w:sz w:val="18"/>
              </w:rPr>
              <w:t>99.9</w:t>
            </w:r>
          </w:p>
        </w:tc>
        <w:tc>
          <w:tcPr>
            <w:tcW w:type="dxa" w:w="2408"/>
          </w:tcPr>
          <w:p>
            <w:pPr>
              <w:spacing w:after="0"/>
              <w:jc w:val="right"/>
            </w:pPr>
            <w:r/>
            <w:r>
              <w:rPr>
                <w:b w:val="0"/>
                <w:sz w:val="18"/>
              </w:rPr>
              <w:t>982,500</w:t>
            </w:r>
          </w:p>
        </w:tc>
      </w:tr>
      <w:tr>
        <w:tc>
          <w:tcPr>
            <w:tcW w:type="dxa" w:w="2408"/>
          </w:tcPr>
          <w:p>
            <w:pPr>
              <w:spacing w:after="0"/>
            </w:pPr>
            <w:r/>
            <w:r>
              <w:rPr>
                <w:b w:val="0"/>
                <w:sz w:val="18"/>
              </w:rPr>
              <w:t>21</w:t>
            </w:r>
          </w:p>
        </w:tc>
        <w:tc>
          <w:tcPr>
            <w:tcW w:type="dxa" w:w="2408"/>
          </w:tcPr>
          <w:p>
            <w:pPr>
              <w:spacing w:after="0"/>
              <w:jc w:val="right"/>
            </w:pPr>
            <w:r/>
            <w:r>
              <w:rPr>
                <w:b w:val="0"/>
                <w:sz w:val="18"/>
              </w:rPr>
              <w:t>564</w:t>
            </w:r>
          </w:p>
        </w:tc>
        <w:tc>
          <w:tcPr>
            <w:tcW w:type="dxa" w:w="2408"/>
          </w:tcPr>
          <w:p>
            <w:pPr>
              <w:spacing w:after="0"/>
              <w:jc w:val="right"/>
            </w:pPr>
            <w:r/>
            <w:r>
              <w:rPr>
                <w:b w:val="0"/>
                <w:sz w:val="18"/>
              </w:rPr>
              <w:t>100.0</w:t>
            </w:r>
          </w:p>
        </w:tc>
        <w:tc>
          <w:tcPr>
            <w:tcW w:type="dxa" w:w="2408"/>
          </w:tcPr>
          <w:p>
            <w:pPr>
              <w:spacing w:after="0"/>
              <w:jc w:val="right"/>
            </w:pPr>
            <w:r/>
            <w:r>
              <w:rPr>
                <w:b w:val="0"/>
                <w:sz w:val="18"/>
              </w:rPr>
              <w:t>1,031,625</w:t>
            </w:r>
          </w:p>
        </w:tc>
      </w:tr>
    </w:tbl>
    <w:p>
      <w:pPr>
        <w:spacing w:after="80"/>
      </w:pPr>
      <w:r>
        <w:rPr>
          <w:b w:val="0"/>
          <w:i w:val="0"/>
        </w:rPr>
      </w:r>
    </w:p>
    <w:p>
      <w:pPr>
        <w:spacing w:after="120"/>
      </w:pPr>
      <w:r>
        <w:rPr>
          <w:b w:val="0"/>
          <w:i w:val="0"/>
          <w:sz w:val="19"/>
        </w:rPr>
        <w:t>Available modules are the 36 serviceable at Central Stores and the two depots plus the 3 at Veldtek under open RMA, which the notice says will come back repaired; the 7 in quarantine are left out until they pass bench test. The workbook vpr340_psu_final_buy.xlsx carries the settings, the outlook by year and region, and the band rates.</w:t>
      </w:r>
    </w:p>
    <w:p>
      <w:pPr>
        <w:spacing w:after="0"/>
      </w:pPr>
      <w:r>
        <w:rPr>
          <w:b w:val="0"/>
          <w:i w:val="0"/>
        </w:rPr>
        <w:t>Signed for order:  ______________________   Susan Huff, Director, Asset Management</w:t>
      </w:r>
    </w:p>
    <w:sectPr w:rsidR="00FC693F" w:rsidRPr="0006063C" w:rsidSect="00034616">
      <w:pgSz w:w="12240" w:h="15840"/>
      <w:pgMar w:top="794"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342</Words>
  <Characters>1707</Characters>
  <Application>Microsoft Office Word</Application>
  <DocSecurity>0</DocSecurity>
  <Lines>31</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VPR-340 PSU last-time buy</dc:title>
  <dc:subject/>
  <dc:creator>Rachael Villanueva</dc:creator>
  <cp:keywords/>
  <dc:description/>
  <cp:lastModifiedBy>Rachael Villanueva</cp:lastModifiedBy>
  <cp:revision>2</cp:revision>
  <dcterms:created xsi:type="dcterms:W3CDTF">2026-10-07T15:40:00Z</dcterms:created>
  <dcterms:modified xsi:type="dcterms:W3CDTF">2026-10-07T15:40:00Z</dcterms:modified>
  <cp:category/>
</cp:coreProperties>
</file>