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2"/>
        </w:rPr>
        <w:t>Headline squad 2027: send the squad to Culture·national</w:t>
      </w:r>
    </w:p>
    <w:p>
      <w:pPr>
        <w:spacing w:after="40"/>
      </w:pPr>
      <w:r>
        <w:rPr>
          <w:b w:val="0"/>
          <w:i w:val="0"/>
          <w:color w:val="595959"/>
          <w:sz w:val="18"/>
        </w:rPr>
        <w:t>Owner: Corey Cox, Managing editor | Version 1, 19 October 2026 | Internal</w:t>
      </w:r>
    </w:p>
    <w:p>
      <w:pPr>
        <w:spacing w:after="240"/>
      </w:pPr>
      <w:r>
        <w:rPr>
          <w:b w:val="0"/>
          <w:i w:val="0"/>
          <w:color w:val="595959"/>
          <w:sz w:val="18"/>
        </w:rPr>
        <w:t>Distribution: Lisa Jennings, Kayla Torres, Nina Franklin, Willie Smith; editors of the six shortlisted desks</w:t>
      </w:r>
    </w:p>
    <w:p>
      <w:pPr>
        <w:spacing w:after="160"/>
      </w:pPr>
      <w:r>
        <w:rPr>
          <w:b/>
          <w:sz w:val="22"/>
        </w:rPr>
        <w:t>Recommendation. The squad should join Culture·national in January. It would add 1,250,000 extra article clicks there in 2027.</w:t>
      </w:r>
      <w:r>
        <w:rPr>
          <w:sz w:val="22"/>
        </w:rPr>
        <w:t xml:space="preserve"> The runner-up is Local·metro, at 800,000, which sits 450,000 behind.</w:t>
      </w:r>
    </w:p>
    <w:p>
      <w:pPr>
        <w:pStyle w:val="Heading2"/>
      </w:pPr>
      <w:r>
        <w:t>How the number is built</w:t>
      </w:r>
    </w:p>
    <w:p>
      <w:pPr>
        <w:spacing w:after="120"/>
      </w:pPr>
      <w:r>
        <w:rPr>
          <w:sz w:val="21"/>
        </w:rPr>
        <w:t>The brief judges the squad on incremental article clicks in the twelve months after it embeds, counted at the owning desk. Three things stand between a desk's 2027 clicks and what the squad would add to them.</w:t>
      </w:r>
    </w:p>
    <w:p>
      <w:pPr>
        <w:spacing w:after="120"/>
      </w:pPr>
      <w:r>
        <w:rPr>
          <w:sz w:val="21"/>
        </w:rPr>
        <w:t>First, the lift. A desk's average winning lift over-reads what a winning headline is worth, because the variant that wins a small test is usually the one that drew a lucky sample. Each shipped variant is shrunk toward one prior fitted on every package in the test archive, and the desk's lift is the mean over its tests. On that basis Culture·national lifts clicks by 1.78% on the headlines it tests. The same rule comes within 2% of the realised holdback lift for 7 of the squad's 7 finished embeddings; the raw lift does so for none.</w:t>
      </w:r>
      <w:r>
        <w:rPr>
          <w:sz w:val="21"/>
          <w:vertAlign w:val="superscript"/>
        </w:rPr>
        <w:t>1</w:t>
      </w:r>
    </w:p>
    <w:p>
      <w:pPr>
        <w:spacing w:after="120"/>
      </w:pPr>
      <w:r>
        <w:rPr>
          <w:sz w:val="21"/>
        </w:rPr>
        <w:t>Second, where the click starts. A tested headline only shows on Bightline's own surfaces: the web and app home pages, section fronts and related links. Search, Discover, partner apps, social cards, newsletters and alerts carry the headline stored at publication, which a test does not change. 50.2% of Culture·national's 2027 clicks start on our own surfaces, against 94.7% for Local·metro.</w:t>
      </w:r>
      <w:r>
        <w:rPr>
          <w:sz w:val="21"/>
          <w:vertAlign w:val="superscript"/>
        </w:rPr>
        <w:t>2</w:t>
      </w:r>
    </w:p>
    <w:p>
      <w:pPr>
        <w:spacing w:after="120"/>
      </w:pPr>
      <w:r>
        <w:rPr>
          <w:sz w:val="21"/>
        </w:rPr>
        <w:t>Third, the tests each desk already runs. Every test in the archive at a shortlisted desk was set up by that desk's own staff, and their winners are already live inside the clicks the plan carries into 2027. The squad cannot add that gain a second time. Local·metro's editors already test the headlines behind 71.1% of its platform clicks, so most of its large reachable base is spoken for. Culture·national's editors ran 50 tests in the year, on articles carrying 8.6% of its platform clicks, which leaves the squad 70,300,000 clicks on untested headlines. At 1.78% that is 1,250,000.</w:t>
      </w:r>
    </w:p>
    <w:p>
      <w:pPr>
        <w:jc w:val="center"/>
      </w:pPr>
      <w:r>
        <w:drawing>
          <wp:inline xmlns:a="http://schemas.openxmlformats.org/drawingml/2006/main" xmlns:pic="http://schemas.openxmlformats.org/drawingml/2006/picture">
            <wp:extent cx="5903999" cy="360799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03999" cy="3607999"/>
                    </a:xfrm>
                    <a:prstGeom prst="rect"/>
                  </pic:spPr>
                </pic:pic>
              </a:graphicData>
            </a:graphic>
          </wp:inline>
        </w:drawing>
      </w:r>
    </w:p>
    <w:p>
      <w:pPr>
        <w:spacing w:after="200"/>
      </w:pPr>
      <w:r>
        <w:rPr>
          <w:b w:val="0"/>
          <w:i/>
          <w:color w:val="595959"/>
          <w:sz w:val="17"/>
        </w:rPr>
        <w:t>Chart: each desk from its 2027 clicks to the extra clicks the squad would add. Desks ordered by extra clicks.</w:t>
      </w:r>
    </w:p>
    <w:p>
      <w:pPr>
        <w:pStyle w:val="Heading2"/>
      </w:pPr>
      <w:r>
        <w:t>Why not the other five</w:t>
      </w:r>
    </w:p>
    <w:p>
      <w:pPr>
        <w:pStyle w:val="ListBullet"/>
        <w:spacing w:after="60"/>
      </w:pPr>
      <w:r>
        <w:rPr>
          <w:b/>
          <w:sz w:val="21"/>
        </w:rPr>
        <w:t xml:space="preserve">Local·metro (800,000): </w:t>
      </w:r>
      <w:r>
        <w:rPr>
          <w:sz w:val="21"/>
        </w:rPr>
        <w:t>the largest reachable base on the list (94.7% of its clicks start on our surfaces), but its own editors already test the headlines behind 71.1% of them.</w:t>
      </w:r>
    </w:p>
    <w:p>
      <w:pPr>
        <w:pStyle w:val="ListBullet"/>
        <w:spacing w:after="60"/>
      </w:pPr>
      <w:r>
        <w:rPr>
          <w:b/>
          <w:sz w:val="21"/>
        </w:rPr>
        <w:t xml:space="preserve">Business·national (700,000): </w:t>
      </w:r>
      <w:r>
        <w:rPr>
          <w:sz w:val="21"/>
        </w:rPr>
        <w:t>big, steady tests and the strongest shrunk lift on the national list (2.00%), but 72.1% of its clicks arrive on surfaces that show the stored headline.</w:t>
      </w:r>
    </w:p>
    <w:p>
      <w:pPr>
        <w:pStyle w:val="ListBullet"/>
        <w:spacing w:after="60"/>
      </w:pPr>
      <w:r>
        <w:rPr>
          <w:b/>
          <w:sz w:val="21"/>
        </w:rPr>
        <w:t xml:space="preserve">Sport·national (650,000): </w:t>
      </w:r>
      <w:r>
        <w:rPr>
          <w:sz w:val="21"/>
        </w:rPr>
        <w:t>a large audience, but a modest lift (1.32%) and half its platform clicks already on tested headlines.</w:t>
      </w:r>
    </w:p>
    <w:p>
      <w:pPr>
        <w:pStyle w:val="ListBullet"/>
        <w:spacing w:after="60"/>
      </w:pPr>
      <w:r>
        <w:rPr>
          <w:b/>
          <w:sz w:val="21"/>
        </w:rPr>
        <w:t xml:space="preserve">Politics·national (550,000): </w:t>
      </w:r>
      <w:r>
        <w:rPr>
          <w:sz w:val="21"/>
        </w:rPr>
        <w:t>leads on the dashboard's Politics figure (4.69%), but that average is pulled up by Politics·metro's small Brisbane tests; Politics·national's own tests shrink to 1.28%.</w:t>
      </w:r>
    </w:p>
    <w:p>
      <w:pPr>
        <w:pStyle w:val="ListBullet"/>
        <w:spacing w:after="60"/>
      </w:pPr>
      <w:r>
        <w:rPr>
          <w:b/>
          <w:sz w:val="21"/>
        </w:rPr>
        <w:t xml:space="preserve">Sport·metro (100,000): </w:t>
      </w:r>
      <w:r>
        <w:rPr>
          <w:sz w:val="21"/>
        </w:rPr>
        <w:t>the highest raw winning lift in the archive (10.8%), drawn from very small tests; shrunk, it is 0.39%.</w:t>
      </w:r>
    </w:p>
    <w:p>
      <w:pPr>
        <w:pStyle w:val="Heading2"/>
      </w:pPr>
      <w:r>
        <w:t>Readers and corrections</w:t>
      </w:r>
    </w:p>
    <w:p>
      <w:pPr>
        <w:spacing w:after="120"/>
      </w:pPr>
      <w:r>
        <w:rPr>
          <w:sz w:val="21"/>
        </w:rPr>
        <w:t>Kayla's case is that the squad belongs where the readers are. Politics·national has the most, 3,180,000 a month over 13,041,000 visits, but readers do not change which headlines the squad can still move. Culture·national reaches 1,412,000 readers a month, and when one of its headlines is wrong the first correction comes a median 119 minutes after the article goes live. The full set is below and in the workbook.</w:t>
      </w:r>
      <w:r>
        <w:rPr>
          <w:sz w:val="21"/>
          <w:vertAlign w:val="superscript"/>
        </w:rPr>
        <w:t>3</w:t>
      </w:r>
    </w:p>
    <w:tbl>
      <w:tblPr>
        <w:tblStyle w:val="TableGrid"/>
        <w:tblW w:type="auto" w:w="0"/>
        <w:jc w:val="center"/>
        <w:tblLayout w:type="fixed"/>
        <w:tblLook w:firstColumn="1" w:firstRow="1" w:lastColumn="0" w:lastRow="0" w:noHBand="0" w:noVBand="1" w:val="04A0"/>
      </w:tblPr>
      <w:tblGrid>
        <w:gridCol w:w="2211"/>
        <w:gridCol w:w="1474"/>
        <w:gridCol w:w="1474"/>
        <w:gridCol w:w="1474"/>
        <w:gridCol w:w="1474"/>
      </w:tblGrid>
      <w:tr>
        <w:tc>
          <w:tcPr>
            <w:tcW w:type="dxa" w:w="2211"/>
            <w:shd w:val="clear" w:color="auto" w:fill="1F3A5F"/>
          </w:tcPr>
          <w:p>
            <w:r/>
            <w:r>
              <w:rPr>
                <w:b/>
                <w:color w:val="FFFFFF"/>
                <w:sz w:val="17"/>
              </w:rPr>
              <w:t>Desk</w:t>
            </w:r>
          </w:p>
        </w:tc>
        <w:tc>
          <w:tcPr>
            <w:tcW w:type="dxa" w:w="1474"/>
            <w:shd w:val="clear" w:color="auto" w:fill="1F3A5F"/>
          </w:tcPr>
          <w:p>
            <w:r/>
            <w:r>
              <w:rPr>
                <w:b/>
                <w:color w:val="FFFFFF"/>
                <w:sz w:val="17"/>
              </w:rPr>
              <w:t>Extra clicks 2027</w:t>
            </w:r>
          </w:p>
        </w:tc>
        <w:tc>
          <w:tcPr>
            <w:tcW w:type="dxa" w:w="1474"/>
            <w:shd w:val="clear" w:color="auto" w:fill="1F3A5F"/>
          </w:tcPr>
          <w:p>
            <w:r/>
            <w:r>
              <w:rPr>
                <w:b/>
                <w:color w:val="FFFFFF"/>
                <w:sz w:val="17"/>
              </w:rPr>
              <w:t>Monthly readers</w:t>
            </w:r>
          </w:p>
        </w:tc>
        <w:tc>
          <w:tcPr>
            <w:tcW w:type="dxa" w:w="1474"/>
            <w:shd w:val="clear" w:color="auto" w:fill="1F3A5F"/>
          </w:tcPr>
          <w:p>
            <w:r/>
            <w:r>
              <w:rPr>
                <w:b/>
                <w:color w:val="FFFFFF"/>
                <w:sz w:val="17"/>
              </w:rPr>
              <w:t>Monthly visits</w:t>
            </w:r>
          </w:p>
        </w:tc>
        <w:tc>
          <w:tcPr>
            <w:tcW w:type="dxa" w:w="1474"/>
            <w:shd w:val="clear" w:color="auto" w:fill="1F3A5F"/>
          </w:tcPr>
          <w:p>
            <w:r/>
            <w:r>
              <w:rPr>
                <w:b/>
                <w:color w:val="FFFFFF"/>
                <w:sz w:val="17"/>
              </w:rPr>
              <w:t>Median minutes to first headline correction</w:t>
            </w:r>
          </w:p>
        </w:tc>
      </w:tr>
      <w:tr>
        <w:tc>
          <w:tcPr>
            <w:tcW w:type="dxa" w:w="2211"/>
            <w:shd w:val="clear" w:color="auto" w:fill="FDF0E8"/>
          </w:tcPr>
          <w:p>
            <w:r/>
            <w:r>
              <w:rPr>
                <w:b/>
                <w:sz w:val="18"/>
              </w:rPr>
              <w:t>Culture·national</w:t>
            </w:r>
          </w:p>
        </w:tc>
        <w:tc>
          <w:tcPr>
            <w:tcW w:type="dxa" w:w="1474"/>
            <w:shd w:val="clear" w:color="auto" w:fill="FDF0E8"/>
          </w:tcPr>
          <w:p>
            <w:pPr>
              <w:jc w:val="right"/>
            </w:pPr>
            <w:r/>
            <w:r>
              <w:rPr>
                <w:b w:val="0"/>
                <w:sz w:val="18"/>
              </w:rPr>
              <w:t>1,250,000</w:t>
            </w:r>
          </w:p>
        </w:tc>
        <w:tc>
          <w:tcPr>
            <w:tcW w:type="dxa" w:w="1474"/>
            <w:shd w:val="clear" w:color="auto" w:fill="FDF0E8"/>
          </w:tcPr>
          <w:p>
            <w:pPr>
              <w:jc w:val="right"/>
            </w:pPr>
            <w:r/>
            <w:r>
              <w:rPr>
                <w:b w:val="0"/>
                <w:sz w:val="18"/>
              </w:rPr>
              <w:t>1,412,000</w:t>
            </w:r>
          </w:p>
        </w:tc>
        <w:tc>
          <w:tcPr>
            <w:tcW w:type="dxa" w:w="1474"/>
            <w:shd w:val="clear" w:color="auto" w:fill="FDF0E8"/>
          </w:tcPr>
          <w:p>
            <w:pPr>
              <w:jc w:val="right"/>
            </w:pPr>
            <w:r/>
            <w:r>
              <w:rPr>
                <w:b w:val="0"/>
                <w:sz w:val="18"/>
              </w:rPr>
              <w:t>5,052,000</w:t>
            </w:r>
          </w:p>
        </w:tc>
        <w:tc>
          <w:tcPr>
            <w:tcW w:type="dxa" w:w="1474"/>
            <w:shd w:val="clear" w:color="auto" w:fill="FDF0E8"/>
          </w:tcPr>
          <w:p>
            <w:pPr>
              <w:jc w:val="right"/>
            </w:pPr>
            <w:r/>
            <w:r>
              <w:rPr>
                <w:b w:val="0"/>
                <w:sz w:val="18"/>
              </w:rPr>
              <w:t>119</w:t>
            </w:r>
          </w:p>
        </w:tc>
      </w:tr>
      <w:tr>
        <w:tc>
          <w:tcPr>
            <w:tcW w:type="dxa" w:w="2211"/>
          </w:tcPr>
          <w:p>
            <w:r/>
            <w:r>
              <w:rPr>
                <w:b w:val="0"/>
                <w:sz w:val="18"/>
              </w:rPr>
              <w:t>Local·metro</w:t>
            </w:r>
          </w:p>
        </w:tc>
        <w:tc>
          <w:tcPr>
            <w:tcW w:type="dxa" w:w="1474"/>
          </w:tcPr>
          <w:p>
            <w:pPr>
              <w:jc w:val="right"/>
            </w:pPr>
            <w:r/>
            <w:r>
              <w:rPr>
                <w:b w:val="0"/>
                <w:sz w:val="18"/>
              </w:rPr>
              <w:t>800,000</w:t>
            </w:r>
          </w:p>
        </w:tc>
        <w:tc>
          <w:tcPr>
            <w:tcW w:type="dxa" w:w="1474"/>
          </w:tcPr>
          <w:p>
            <w:pPr>
              <w:jc w:val="right"/>
            </w:pPr>
            <w:r/>
            <w:r>
              <w:rPr>
                <w:b w:val="0"/>
                <w:sz w:val="18"/>
              </w:rPr>
              <w:t>617,000</w:t>
            </w:r>
          </w:p>
        </w:tc>
        <w:tc>
          <w:tcPr>
            <w:tcW w:type="dxa" w:w="1474"/>
          </w:tcPr>
          <w:p>
            <w:pPr>
              <w:jc w:val="right"/>
            </w:pPr>
            <w:r/>
            <w:r>
              <w:rPr>
                <w:b w:val="0"/>
                <w:sz w:val="18"/>
              </w:rPr>
              <w:t>2,359,000</w:t>
            </w:r>
          </w:p>
        </w:tc>
        <w:tc>
          <w:tcPr>
            <w:tcW w:type="dxa" w:w="1474"/>
          </w:tcPr>
          <w:p>
            <w:pPr>
              <w:jc w:val="right"/>
            </w:pPr>
            <w:r/>
            <w:r>
              <w:rPr>
                <w:b w:val="0"/>
                <w:sz w:val="18"/>
              </w:rPr>
              <w:t>102</w:t>
            </w:r>
          </w:p>
        </w:tc>
      </w:tr>
      <w:tr>
        <w:tc>
          <w:tcPr>
            <w:tcW w:type="dxa" w:w="2211"/>
          </w:tcPr>
          <w:p>
            <w:r/>
            <w:r>
              <w:rPr>
                <w:b w:val="0"/>
                <w:sz w:val="18"/>
              </w:rPr>
              <w:t>Business·national</w:t>
            </w:r>
          </w:p>
        </w:tc>
        <w:tc>
          <w:tcPr>
            <w:tcW w:type="dxa" w:w="1474"/>
          </w:tcPr>
          <w:p>
            <w:pPr>
              <w:jc w:val="right"/>
            </w:pPr>
            <w:r/>
            <w:r>
              <w:rPr>
                <w:b w:val="0"/>
                <w:sz w:val="18"/>
              </w:rPr>
              <w:t>700,000</w:t>
            </w:r>
          </w:p>
        </w:tc>
        <w:tc>
          <w:tcPr>
            <w:tcW w:type="dxa" w:w="1474"/>
          </w:tcPr>
          <w:p>
            <w:pPr>
              <w:jc w:val="right"/>
            </w:pPr>
            <w:r/>
            <w:r>
              <w:rPr>
                <w:b w:val="0"/>
                <w:sz w:val="18"/>
              </w:rPr>
              <w:t>1,760,000</w:t>
            </w:r>
          </w:p>
        </w:tc>
        <w:tc>
          <w:tcPr>
            <w:tcW w:type="dxa" w:w="1474"/>
          </w:tcPr>
          <w:p>
            <w:pPr>
              <w:jc w:val="right"/>
            </w:pPr>
            <w:r/>
            <w:r>
              <w:rPr>
                <w:b w:val="0"/>
                <w:sz w:val="18"/>
              </w:rPr>
              <w:t>6,642,000</w:t>
            </w:r>
          </w:p>
        </w:tc>
        <w:tc>
          <w:tcPr>
            <w:tcW w:type="dxa" w:w="1474"/>
          </w:tcPr>
          <w:p>
            <w:pPr>
              <w:jc w:val="right"/>
            </w:pPr>
            <w:r/>
            <w:r>
              <w:rPr>
                <w:b w:val="0"/>
                <w:sz w:val="18"/>
              </w:rPr>
              <w:t>89</w:t>
            </w:r>
          </w:p>
        </w:tc>
      </w:tr>
      <w:tr>
        <w:tc>
          <w:tcPr>
            <w:tcW w:type="dxa" w:w="2211"/>
          </w:tcPr>
          <w:p>
            <w:r/>
            <w:r>
              <w:rPr>
                <w:b w:val="0"/>
                <w:sz w:val="18"/>
              </w:rPr>
              <w:t>Sport·national</w:t>
            </w:r>
          </w:p>
        </w:tc>
        <w:tc>
          <w:tcPr>
            <w:tcW w:type="dxa" w:w="1474"/>
          </w:tcPr>
          <w:p>
            <w:pPr>
              <w:jc w:val="right"/>
            </w:pPr>
            <w:r/>
            <w:r>
              <w:rPr>
                <w:b w:val="0"/>
                <w:sz w:val="18"/>
              </w:rPr>
              <w:t>650,000</w:t>
            </w:r>
          </w:p>
        </w:tc>
        <w:tc>
          <w:tcPr>
            <w:tcW w:type="dxa" w:w="1474"/>
          </w:tcPr>
          <w:p>
            <w:pPr>
              <w:jc w:val="right"/>
            </w:pPr>
            <w:r/>
            <w:r>
              <w:rPr>
                <w:b w:val="0"/>
                <w:sz w:val="18"/>
              </w:rPr>
              <w:t>2,931,000</w:t>
            </w:r>
          </w:p>
        </w:tc>
        <w:tc>
          <w:tcPr>
            <w:tcW w:type="dxa" w:w="1474"/>
          </w:tcPr>
          <w:p>
            <w:pPr>
              <w:jc w:val="right"/>
            </w:pPr>
            <w:r/>
            <w:r>
              <w:rPr>
                <w:b w:val="0"/>
                <w:sz w:val="18"/>
              </w:rPr>
              <w:t>11,626,000</w:t>
            </w:r>
          </w:p>
        </w:tc>
        <w:tc>
          <w:tcPr>
            <w:tcW w:type="dxa" w:w="1474"/>
          </w:tcPr>
          <w:p>
            <w:pPr>
              <w:jc w:val="right"/>
            </w:pPr>
            <w:r/>
            <w:r>
              <w:rPr>
                <w:b w:val="0"/>
                <w:sz w:val="18"/>
              </w:rPr>
              <w:t>47</w:t>
            </w:r>
          </w:p>
        </w:tc>
      </w:tr>
      <w:tr>
        <w:tc>
          <w:tcPr>
            <w:tcW w:type="dxa" w:w="2211"/>
          </w:tcPr>
          <w:p>
            <w:r/>
            <w:r>
              <w:rPr>
                <w:b w:val="0"/>
                <w:sz w:val="18"/>
              </w:rPr>
              <w:t>Politics·national</w:t>
            </w:r>
          </w:p>
        </w:tc>
        <w:tc>
          <w:tcPr>
            <w:tcW w:type="dxa" w:w="1474"/>
          </w:tcPr>
          <w:p>
            <w:pPr>
              <w:jc w:val="right"/>
            </w:pPr>
            <w:r/>
            <w:r>
              <w:rPr>
                <w:b w:val="0"/>
                <w:sz w:val="18"/>
              </w:rPr>
              <w:t>550,000</w:t>
            </w:r>
          </w:p>
        </w:tc>
        <w:tc>
          <w:tcPr>
            <w:tcW w:type="dxa" w:w="1474"/>
          </w:tcPr>
          <w:p>
            <w:pPr>
              <w:jc w:val="right"/>
            </w:pPr>
            <w:r/>
            <w:r>
              <w:rPr>
                <w:b w:val="0"/>
                <w:sz w:val="18"/>
              </w:rPr>
              <w:t>3,180,000</w:t>
            </w:r>
          </w:p>
        </w:tc>
        <w:tc>
          <w:tcPr>
            <w:tcW w:type="dxa" w:w="1474"/>
          </w:tcPr>
          <w:p>
            <w:pPr>
              <w:jc w:val="right"/>
            </w:pPr>
            <w:r/>
            <w:r>
              <w:rPr>
                <w:b w:val="0"/>
                <w:sz w:val="18"/>
              </w:rPr>
              <w:t>13,041,000</w:t>
            </w:r>
          </w:p>
        </w:tc>
        <w:tc>
          <w:tcPr>
            <w:tcW w:type="dxa" w:w="1474"/>
          </w:tcPr>
          <w:p>
            <w:pPr>
              <w:jc w:val="right"/>
            </w:pPr>
            <w:r/>
            <w:r>
              <w:rPr>
                <w:b w:val="0"/>
                <w:sz w:val="18"/>
              </w:rPr>
              <w:t>86</w:t>
            </w:r>
          </w:p>
        </w:tc>
      </w:tr>
      <w:tr>
        <w:tc>
          <w:tcPr>
            <w:tcW w:type="dxa" w:w="2211"/>
          </w:tcPr>
          <w:p>
            <w:r/>
            <w:r>
              <w:rPr>
                <w:b w:val="0"/>
                <w:sz w:val="18"/>
              </w:rPr>
              <w:t>Sport·metro</w:t>
            </w:r>
          </w:p>
        </w:tc>
        <w:tc>
          <w:tcPr>
            <w:tcW w:type="dxa" w:w="1474"/>
          </w:tcPr>
          <w:p>
            <w:pPr>
              <w:jc w:val="right"/>
            </w:pPr>
            <w:r/>
            <w:r>
              <w:rPr>
                <w:b w:val="0"/>
                <w:sz w:val="18"/>
              </w:rPr>
              <w:t>100,000</w:t>
            </w:r>
          </w:p>
        </w:tc>
        <w:tc>
          <w:tcPr>
            <w:tcW w:type="dxa" w:w="1474"/>
          </w:tcPr>
          <w:p>
            <w:pPr>
              <w:jc w:val="right"/>
            </w:pPr>
            <w:r/>
            <w:r>
              <w:rPr>
                <w:b w:val="0"/>
                <w:sz w:val="18"/>
              </w:rPr>
              <w:t>470,000</w:t>
            </w:r>
          </w:p>
        </w:tc>
        <w:tc>
          <w:tcPr>
            <w:tcW w:type="dxa" w:w="1474"/>
          </w:tcPr>
          <w:p>
            <w:pPr>
              <w:jc w:val="right"/>
            </w:pPr>
            <w:r/>
            <w:r>
              <w:rPr>
                <w:b w:val="0"/>
                <w:sz w:val="18"/>
              </w:rPr>
              <w:t>1,550,000</w:t>
            </w:r>
          </w:p>
        </w:tc>
        <w:tc>
          <w:tcPr>
            <w:tcW w:type="dxa" w:w="1474"/>
          </w:tcPr>
          <w:p>
            <w:pPr>
              <w:jc w:val="right"/>
            </w:pPr>
            <w:r/>
            <w:r>
              <w:rPr>
                <w:b w:val="0"/>
                <w:sz w:val="18"/>
              </w:rPr>
              <w:t>55</w:t>
            </w:r>
          </w:p>
        </w:tc>
      </w:tr>
    </w:tbl>
    <w:p>
      <w:pPr>
        <w:spacing w:after="200"/>
      </w:pPr>
      <w:r>
        <w:rPr>
          <w:b w:val="0"/>
          <w:i/>
          <w:color w:val="595959"/>
          <w:sz w:val="16"/>
        </w:rPr>
        <w:t>Source: 2027 audience plan; pageviews by source; headline test archive; panel monthly audience (restated releases); CMS revisions for the web desks. Readers, visits and minutes cover October 2025 to September 2026.</w:t>
      </w:r>
    </w:p>
    <w:p>
      <w:pPr>
        <w:pStyle w:val="Heading3"/>
      </w:pPr>
      <w:r>
        <w:t>Notes</w:t>
      </w:r>
    </w:p>
    <w:p>
      <w:pPr>
        <w:spacing w:after="60"/>
      </w:pPr>
      <w:r>
        <w:rPr>
          <w:b w:val="0"/>
          <w:i w:val="0"/>
          <w:color w:val="404040"/>
          <w:sz w:val="17"/>
        </w:rPr>
        <w:t>1  Prior fitted by maximum likelihood on all 10,111 variant packages; a control that is kept counts as zero lift. Embedding-by-embedding results are on the workbook's Back-test sheet.</w:t>
      </w:r>
    </w:p>
    <w:p>
      <w:pPr>
        <w:spacing w:after="60"/>
      </w:pPr>
      <w:r>
        <w:rPr>
          <w:b w:val="0"/>
          <w:i w:val="0"/>
          <w:color w:val="404040"/>
          <w:sz w:val="17"/>
        </w:rPr>
        <w:t>2  Source codes as defined in the audience warehouse field reference. The 2027 plan holds every desk at its October 2025 to September 2026 clicks, with no change in where they come from.</w:t>
      </w:r>
    </w:p>
    <w:p>
      <w:pPr>
        <w:spacing w:after="60"/>
      </w:pPr>
      <w:r>
        <w:rPr>
          <w:b w:val="0"/>
          <w:i w:val="0"/>
          <w:color w:val="404040"/>
          <w:sz w:val="17"/>
        </w:rPr>
        <w:t>3  Readers and visits are the panel's for the desk's section: releases up to R26-03 on the earlier section list and R26-04, the first on the 2026 content taxonomy, and every later release (the R26-04H history release included) on the 2026 list, each section's month taken from its latest release. The R26-07B restatement replaces April to June on both sites; the July file repeats those months as first published, and those rows are the replaced figures carried again. A headline correction is a new note on a published version that went up with a corrected headline, on the same save or on a save within ten minutes either side as the CMS export's field notes allow, a live-blog entry's headline included (editorial standards 7.4 and 7.5); a note carried forward, or put back after a save that left it off, is not a new correction. Articles are stories and live blogs first published October 2025 to September 2026; live-blog posts, restored copies and documents carried across at the 1 October 2025 migration are not separate articles. An article goes live at its first published version, the time the editor set (Brisbane time) if the CMS published it; a restored copy keeps its original's.</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Bightline News | Internal | Page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6"/>
      </w:rPr>
      <w:t>Newsroom planning | Paper for the planning meeting, Wednesday 4 November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921</Words>
  <Characters>4803</Characters>
  <Application>Microsoft Macintosh Word</Application>
  <DocSecurity>0</DocSecurity>
  <Lines>106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Headline squad 2027 placement</dc:title>
  <dc:subject/>
  <dc:creator>Corey Cox</dc:creator>
  <cp:keywords/>
  <dc:description/>
  <cp:lastModifiedBy>Corey Cox</cp:lastModifiedBy>
  <cp:revision>1</cp:revision>
  <dcterms:created xsi:type="dcterms:W3CDTF">2026-10-16T05:05:00Z</dcterms:created>
  <dcterms:modified xsi:type="dcterms:W3CDTF">2026-10-18T23:00:00Z</dcterms:modified>
  <cp:category/>
</cp:coreProperties>
</file>