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5F"/>
          <w:sz w:val="26"/>
        </w:rPr>
        <w:t>Corvane Pharmacy Solutions</w:t>
      </w:r>
    </w:p>
    <w:p>
      <w:r>
        <w:t>Anticonvulsants proposed for the 1 July 2027 State MAC update</w:t>
      </w:r>
    </w:p>
    <w:p>
      <w:pPr>
        <w:spacing w:after="0"/>
      </w:pPr>
      <w:r>
        <w:rPr>
          <w:b/>
        </w:rPr>
        <w:t xml:space="preserve">To: </w:t>
      </w:r>
      <w:r>
        <w:t>Sonya Burton, Pharmacy Director, Department of Health Coverage</w:t>
      </w:r>
    </w:p>
    <w:p>
      <w:pPr>
        <w:spacing w:after="0"/>
      </w:pPr>
      <w:r>
        <w:rPr>
          <w:b/>
        </w:rPr>
        <w:t xml:space="preserve">From: </w:t>
      </w:r>
      <w:r>
        <w:t>Carrie Arellano, MAC Pricing Lead</w:t>
      </w:r>
    </w:p>
    <w:p>
      <w:pPr>
        <w:spacing w:after="0"/>
      </w:pPr>
      <w:r>
        <w:rPr>
          <w:b/>
        </w:rPr>
        <w:t xml:space="preserve">Copy: </w:t>
      </w:r>
      <w:r>
        <w:t>Todd Allen, Account Director</w:t>
      </w:r>
    </w:p>
    <w:p>
      <w:pPr>
        <w:spacing w:after="0"/>
      </w:pPr>
      <w:r>
        <w:rPr>
          <w:b/>
        </w:rPr>
        <w:t xml:space="preserve">Date: </w:t>
      </w:r>
      <w:r>
        <w:t>30 April 2027</w:t>
      </w:r>
    </w:p>
    <w:p>
      <w:pPr>
        <w:spacing w:after="0"/>
      </w:pPr>
      <w:r>
        <w:rPr>
          <w:b/>
        </w:rPr>
        <w:t xml:space="preserve">Re: </w:t>
      </w:r>
      <w:r>
        <w:t>Proposal under Attachment C, section C.4</w:t>
      </w:r>
    </w:p>
    <w:p/>
    <w:p>
      <w:r>
        <w:rPr>
          <w:b/>
        </w:rPr>
        <w:t xml:space="preserve">We propose Anticonvulsants (C107) for the State MAC list from 1 July 2027. </w:t>
      </w:r>
      <w:r>
        <w:t>Its ingredient spread over fills from April 2026 to March 2027 was $43,000, the largest of the twelve candidate classes; antipsychotics were next at $30,000.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Candidate class</w:t>
            </w:r>
          </w:p>
        </w:tc>
        <w:tc>
          <w:tcPr>
            <w:tcW w:type="dxa" w:w="2160"/>
          </w:tcPr>
          <w:p>
            <w:r>
              <w:t>Claims</w:t>
            </w:r>
          </w:p>
        </w:tc>
        <w:tc>
          <w:tcPr>
            <w:tcW w:type="dxa" w:w="2160"/>
          </w:tcPr>
          <w:p>
            <w:r>
              <w:t>Ingredient cost paid</w:t>
            </w:r>
          </w:p>
        </w:tc>
        <w:tc>
          <w:tcPr>
            <w:tcW w:type="dxa" w:w="2160"/>
          </w:tcPr>
          <w:p>
            <w:r>
              <w:t>Ingredient spread</w:t>
            </w:r>
          </w:p>
        </w:tc>
      </w:tr>
      <w:tr>
        <w:tc>
          <w:tcPr>
            <w:tcW w:type="dxa" w:w="2160"/>
          </w:tcPr>
          <w:p>
            <w:r>
              <w:t>Anticonvulsants</w:t>
            </w:r>
          </w:p>
        </w:tc>
        <w:tc>
          <w:tcPr>
            <w:tcW w:type="dxa" w:w="2160"/>
          </w:tcPr>
          <w:p>
            <w:pPr>
              <w:jc w:val="right"/>
            </w:pPr>
            <w:r>
              <w:t>40,210</w:t>
            </w:r>
          </w:p>
        </w:tc>
        <w:tc>
          <w:tcPr>
            <w:tcW w:type="dxa" w:w="2160"/>
          </w:tcPr>
          <w:p>
            <w:pPr>
              <w:jc w:val="right"/>
            </w:pPr>
            <w:r>
              <w:t>$233,380</w:t>
            </w:r>
          </w:p>
        </w:tc>
        <w:tc>
          <w:tcPr>
            <w:tcW w:type="dxa" w:w="2160"/>
          </w:tcPr>
          <w:p>
            <w:pPr>
              <w:jc w:val="right"/>
            </w:pPr>
            <w:r>
              <w:t>$43,000</w:t>
            </w:r>
          </w:p>
        </w:tc>
      </w:tr>
      <w:tr>
        <w:tc>
          <w:tcPr>
            <w:tcW w:type="dxa" w:w="2160"/>
          </w:tcPr>
          <w:p>
            <w:r>
              <w:t>Antipsychotics</w:t>
            </w:r>
          </w:p>
        </w:tc>
        <w:tc>
          <w:tcPr>
            <w:tcW w:type="dxa" w:w="2160"/>
          </w:tcPr>
          <w:p>
            <w:pPr>
              <w:jc w:val="right"/>
            </w:pPr>
            <w:r>
              <w:t>34,285</w:t>
            </w:r>
          </w:p>
        </w:tc>
        <w:tc>
          <w:tcPr>
            <w:tcW w:type="dxa" w:w="2160"/>
          </w:tcPr>
          <w:p>
            <w:pPr>
              <w:jc w:val="right"/>
            </w:pPr>
            <w:r>
              <w:t>$211,586</w:t>
            </w:r>
          </w:p>
        </w:tc>
        <w:tc>
          <w:tcPr>
            <w:tcW w:type="dxa" w:w="2160"/>
          </w:tcPr>
          <w:p>
            <w:pPr>
              <w:jc w:val="right"/>
            </w:pPr>
            <w:r>
              <w:t>$30,000</w:t>
            </w:r>
          </w:p>
        </w:tc>
      </w:tr>
      <w:tr>
        <w:tc>
          <w:tcPr>
            <w:tcW w:type="dxa" w:w="2160"/>
          </w:tcPr>
          <w:p>
            <w:r>
              <w:t>Dementia agents</w:t>
            </w:r>
          </w:p>
        </w:tc>
        <w:tc>
          <w:tcPr>
            <w:tcW w:type="dxa" w:w="2160"/>
          </w:tcPr>
          <w:p>
            <w:pPr>
              <w:jc w:val="right"/>
            </w:pPr>
            <w:r>
              <w:t>11,949</w:t>
            </w:r>
          </w:p>
        </w:tc>
        <w:tc>
          <w:tcPr>
            <w:tcW w:type="dxa" w:w="2160"/>
          </w:tcPr>
          <w:p>
            <w:pPr>
              <w:jc w:val="right"/>
            </w:pPr>
            <w:r>
              <w:t>$102,664</w:t>
            </w:r>
          </w:p>
        </w:tc>
        <w:tc>
          <w:tcPr>
            <w:tcW w:type="dxa" w:w="2160"/>
          </w:tcPr>
          <w:p>
            <w:pPr>
              <w:jc w:val="right"/>
            </w:pPr>
            <w:r>
              <w:t>$24,000</w:t>
            </w:r>
          </w:p>
        </w:tc>
      </w:tr>
      <w:tr>
        <w:tc>
          <w:tcPr>
            <w:tcW w:type="dxa" w:w="2160"/>
          </w:tcPr>
          <w:p>
            <w:r>
              <w:t>Antiparkinson agents</w:t>
            </w:r>
          </w:p>
        </w:tc>
        <w:tc>
          <w:tcPr>
            <w:tcW w:type="dxa" w:w="2160"/>
          </w:tcPr>
          <w:p>
            <w:pPr>
              <w:jc w:val="right"/>
            </w:pPr>
            <w:r>
              <w:t>11,536</w:t>
            </w:r>
          </w:p>
        </w:tc>
        <w:tc>
          <w:tcPr>
            <w:tcW w:type="dxa" w:w="2160"/>
          </w:tcPr>
          <w:p>
            <w:pPr>
              <w:jc w:val="right"/>
            </w:pPr>
            <w:r>
              <w:t>$131,527</w:t>
            </w:r>
          </w:p>
        </w:tc>
        <w:tc>
          <w:tcPr>
            <w:tcW w:type="dxa" w:w="2160"/>
          </w:tcPr>
          <w:p>
            <w:pPr>
              <w:jc w:val="right"/>
            </w:pPr>
            <w:r>
              <w:t>$23,000</w:t>
            </w:r>
          </w:p>
        </w:tc>
      </w:tr>
      <w:tr>
        <w:tc>
          <w:tcPr>
            <w:tcW w:type="dxa" w:w="2160"/>
          </w:tcPr>
          <w:p>
            <w:r>
              <w:t>Urinary antispasmodics</w:t>
            </w:r>
          </w:p>
        </w:tc>
        <w:tc>
          <w:tcPr>
            <w:tcW w:type="dxa" w:w="2160"/>
          </w:tcPr>
          <w:p>
            <w:pPr>
              <w:jc w:val="right"/>
            </w:pPr>
            <w:r>
              <w:t>9,719</w:t>
            </w:r>
          </w:p>
        </w:tc>
        <w:tc>
          <w:tcPr>
            <w:tcW w:type="dxa" w:w="2160"/>
          </w:tcPr>
          <w:p>
            <w:pPr>
              <w:jc w:val="right"/>
            </w:pPr>
            <w:r>
              <w:t>$119,475</w:t>
            </w:r>
          </w:p>
        </w:tc>
        <w:tc>
          <w:tcPr>
            <w:tcW w:type="dxa" w:w="2160"/>
          </w:tcPr>
          <w:p>
            <w:pPr>
              <w:jc w:val="right"/>
            </w:pPr>
            <w:r>
              <w:t>$15,000</w:t>
            </w:r>
          </w:p>
        </w:tc>
      </w:tr>
      <w:tr>
        <w:tc>
          <w:tcPr>
            <w:tcW w:type="dxa" w:w="2160"/>
          </w:tcPr>
          <w:p>
            <w:r>
              <w:t>Loop diuretics</w:t>
            </w:r>
          </w:p>
        </w:tc>
        <w:tc>
          <w:tcPr>
            <w:tcW w:type="dxa" w:w="2160"/>
          </w:tcPr>
          <w:p>
            <w:pPr>
              <w:jc w:val="right"/>
            </w:pPr>
            <w:r>
              <w:t>18,758</w:t>
            </w:r>
          </w:p>
        </w:tc>
        <w:tc>
          <w:tcPr>
            <w:tcW w:type="dxa" w:w="2160"/>
          </w:tcPr>
          <w:p>
            <w:pPr>
              <w:jc w:val="right"/>
            </w:pPr>
            <w:r>
              <w:t>$51,474</w:t>
            </w:r>
          </w:p>
        </w:tc>
        <w:tc>
          <w:tcPr>
            <w:tcW w:type="dxa" w:w="2160"/>
          </w:tcPr>
          <w:p>
            <w:pPr>
              <w:jc w:val="right"/>
            </w:pPr>
            <w:r>
              <w:t>$9,000</w:t>
            </w:r>
          </w:p>
        </w:tc>
      </w:tr>
      <w:tr>
        <w:tc>
          <w:tcPr>
            <w:tcW w:type="dxa" w:w="2160"/>
          </w:tcPr>
          <w:p>
            <w:r>
              <w:t>Antiemetics</w:t>
            </w:r>
          </w:p>
        </w:tc>
        <w:tc>
          <w:tcPr>
            <w:tcW w:type="dxa" w:w="2160"/>
          </w:tcPr>
          <w:p>
            <w:pPr>
              <w:jc w:val="right"/>
            </w:pPr>
            <w:r>
              <w:t>10,771</w:t>
            </w:r>
          </w:p>
        </w:tc>
        <w:tc>
          <w:tcPr>
            <w:tcW w:type="dxa" w:w="2160"/>
          </w:tcPr>
          <w:p>
            <w:pPr>
              <w:jc w:val="right"/>
            </w:pPr>
            <w:r>
              <w:t>$46,765</w:t>
            </w:r>
          </w:p>
        </w:tc>
        <w:tc>
          <w:tcPr>
            <w:tcW w:type="dxa" w:w="2160"/>
          </w:tcPr>
          <w:p>
            <w:pPr>
              <w:jc w:val="right"/>
            </w:pPr>
            <w:r>
              <w:t>$5,000</w:t>
            </w:r>
          </w:p>
        </w:tc>
      </w:tr>
      <w:tr>
        <w:tc>
          <w:tcPr>
            <w:tcW w:type="dxa" w:w="2160"/>
          </w:tcPr>
          <w:p>
            <w:r>
              <w:t>Benzodiazepines</w:t>
            </w:r>
          </w:p>
        </w:tc>
        <w:tc>
          <w:tcPr>
            <w:tcW w:type="dxa" w:w="2160"/>
          </w:tcPr>
          <w:p>
            <w:pPr>
              <w:jc w:val="right"/>
            </w:pPr>
            <w:r>
              <w:t>11,042</w:t>
            </w:r>
          </w:p>
        </w:tc>
        <w:tc>
          <w:tcPr>
            <w:tcW w:type="dxa" w:w="2160"/>
          </w:tcPr>
          <w:p>
            <w:pPr>
              <w:jc w:val="right"/>
            </w:pPr>
            <w:r>
              <w:t>$24,870</w:t>
            </w:r>
          </w:p>
        </w:tc>
        <w:tc>
          <w:tcPr>
            <w:tcW w:type="dxa" w:w="2160"/>
          </w:tcPr>
          <w:p>
            <w:pPr>
              <w:jc w:val="right"/>
            </w:pPr>
            <w:r>
              <w:t>$3,000</w:t>
            </w:r>
          </w:p>
        </w:tc>
      </w:tr>
      <w:tr>
        <w:tc>
          <w:tcPr>
            <w:tcW w:type="dxa" w:w="2160"/>
          </w:tcPr>
          <w:p>
            <w:r>
              <w:t>Beta blockers</w:t>
            </w:r>
          </w:p>
        </w:tc>
        <w:tc>
          <w:tcPr>
            <w:tcW w:type="dxa" w:w="2160"/>
          </w:tcPr>
          <w:p>
            <w:pPr>
              <w:jc w:val="right"/>
            </w:pPr>
            <w:r>
              <w:t>19,749</w:t>
            </w:r>
          </w:p>
        </w:tc>
        <w:tc>
          <w:tcPr>
            <w:tcW w:type="dxa" w:w="2160"/>
          </w:tcPr>
          <w:p>
            <w:pPr>
              <w:jc w:val="right"/>
            </w:pPr>
            <w:r>
              <w:t>$48,402</w:t>
            </w:r>
          </w:p>
        </w:tc>
        <w:tc>
          <w:tcPr>
            <w:tcW w:type="dxa" w:w="2160"/>
          </w:tcPr>
          <w:p>
            <w:pPr>
              <w:jc w:val="right"/>
            </w:pPr>
            <w:r>
              <w:t>$3,000</w:t>
            </w:r>
          </w:p>
        </w:tc>
      </w:tr>
      <w:tr>
        <w:tc>
          <w:tcPr>
            <w:tcW w:type="dxa" w:w="2160"/>
          </w:tcPr>
          <w:p>
            <w:r>
              <w:t>Oral corticosteroids</w:t>
            </w:r>
          </w:p>
        </w:tc>
        <w:tc>
          <w:tcPr>
            <w:tcW w:type="dxa" w:w="2160"/>
          </w:tcPr>
          <w:p>
            <w:pPr>
              <w:jc w:val="right"/>
            </w:pPr>
            <w:r>
              <w:t>10,058</w:t>
            </w:r>
          </w:p>
        </w:tc>
        <w:tc>
          <w:tcPr>
            <w:tcW w:type="dxa" w:w="2160"/>
          </w:tcPr>
          <w:p>
            <w:pPr>
              <w:jc w:val="right"/>
            </w:pPr>
            <w:r>
              <w:t>$52,589</w:t>
            </w:r>
          </w:p>
        </w:tc>
        <w:tc>
          <w:tcPr>
            <w:tcW w:type="dxa" w:w="2160"/>
          </w:tcPr>
          <w:p>
            <w:pPr>
              <w:jc w:val="right"/>
            </w:pPr>
            <w:r>
              <w:t>$3,000</w:t>
            </w:r>
          </w:p>
        </w:tc>
      </w:tr>
      <w:tr>
        <w:tc>
          <w:tcPr>
            <w:tcW w:type="dxa" w:w="2160"/>
          </w:tcPr>
          <w:p>
            <w:r>
              <w:t>Antidepressants, SSRI</w:t>
            </w:r>
          </w:p>
        </w:tc>
        <w:tc>
          <w:tcPr>
            <w:tcW w:type="dxa" w:w="2160"/>
          </w:tcPr>
          <w:p>
            <w:pPr>
              <w:jc w:val="right"/>
            </w:pPr>
            <w:r>
              <w:t>17,814</w:t>
            </w:r>
          </w:p>
        </w:tc>
        <w:tc>
          <w:tcPr>
            <w:tcW w:type="dxa" w:w="2160"/>
          </w:tcPr>
          <w:p>
            <w:pPr>
              <w:jc w:val="right"/>
            </w:pPr>
            <w:r>
              <w:t>$33,465</w:t>
            </w:r>
          </w:p>
        </w:tc>
        <w:tc>
          <w:tcPr>
            <w:tcW w:type="dxa" w:w="2160"/>
          </w:tcPr>
          <w:p>
            <w:pPr>
              <w:jc w:val="right"/>
            </w:pPr>
            <w:r>
              <w:t>$2,000</w:t>
            </w:r>
          </w:p>
        </w:tc>
      </w:tr>
      <w:tr>
        <w:tc>
          <w:tcPr>
            <w:tcW w:type="dxa" w:w="2160"/>
          </w:tcPr>
          <w:p>
            <w:r>
              <w:t>Skeletal muscle relaxants</w:t>
            </w:r>
          </w:p>
        </w:tc>
        <w:tc>
          <w:tcPr>
            <w:tcW w:type="dxa" w:w="2160"/>
          </w:tcPr>
          <w:p>
            <w:pPr>
              <w:jc w:val="right"/>
            </w:pPr>
            <w:r>
              <w:t>15,276</w:t>
            </w:r>
          </w:p>
        </w:tc>
        <w:tc>
          <w:tcPr>
            <w:tcW w:type="dxa" w:w="2160"/>
          </w:tcPr>
          <w:p>
            <w:pPr>
              <w:jc w:val="right"/>
            </w:pPr>
            <w:r>
              <w:t>$43,012</w:t>
            </w:r>
          </w:p>
        </w:tc>
        <w:tc>
          <w:tcPr>
            <w:tcW w:type="dxa" w:w="2160"/>
          </w:tcPr>
          <w:p>
            <w:pPr>
              <w:jc w:val="right"/>
            </w:pPr>
            <w:r>
              <w:t>$2,000</w:t>
            </w:r>
          </w:p>
        </w:tc>
      </w:tr>
    </w:tbl>
    <w:p>
      <w:r>
        <w:rPr>
          <w:sz w:val="17"/>
        </w:rPr>
        <w:t>Source: Corvane claims extract of 21 April 2027 (claims paid through 20 April 2027); State AAC rates as published to 1 April 2027. Claims net of reversals. Spreads rounded to the nearest thousand dollars; the classes are compared on unrounded figures (C.4).</w:t>
      </w:r>
    </w:p>
    <w:p/>
    <w:p>
      <w:r>
        <w:drawing>
          <wp:inline xmlns:a="http://schemas.openxmlformats.org/drawingml/2006/main" xmlns:pic="http://schemas.openxmlformats.org/drawingml/2006/picture">
            <wp:extent cx="5669280" cy="345471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3454718"/>
                    </a:xfrm>
                    <a:prstGeom prst="rect"/>
                  </pic:spPr>
                </pic:pic>
              </a:graphicData>
            </a:graphic>
          </wp:inline>
        </w:drawing>
      </w:r>
    </w:p>
    <w:p>
      <w:r>
        <w:rPr>
          <w:i/>
        </w:rPr>
        <w:t>Figure 1. Ingredient spread by candidate class, fills April 2026 to March 2027, net of reversals; the proposed class in dark.</w:t>
      </w:r>
    </w:p>
    <w:p>
      <w:r>
        <w:rPr>
          <w:b/>
        </w:rPr>
        <w:t>How the spread was measured</w:t>
      </w:r>
    </w:p>
    <w:p>
      <w:r>
        <w:t>Claims are the Program's fee-for-service claims for fills from 1 April 2026 to 31 March 2027, reversals netted, each NDC placed in its class through the drug file and the class list in force from 1 January 2027. A claim's units are costed at the State AAC rate in effect for its NDC on the fill date. 43 per cent of the candidate classes' ingredient cost was paid on NDCs with no rate in effect, 86 per cent of it on unit-dose cartons and the rest mostly on new entrants' bottles; those units are costed at the median rate in effect that month for the priced NDCs of the same product and package. Where a product had no priced carton, its cartons are costed at its bottles' rate times the carton-to-bottle ratio of the products with both priced (about 1.90).</w:t>
      </w:r>
    </w:p>
    <w:p>
      <w:r>
        <w:t>A carton costs more per unit than the bottle of the same product. Costed at the product's bottle rate, the cartons would carry a spread they do not have, and antipsychotics would appear first at $65,000.</w:t>
      </w:r>
    </w:p>
    <w:p>
      <w:r>
        <w:t>The candidate classes' claims, units and ingredient cost paid for fills from April 2025 to March 2026 are in the attached workbook for the budget: the FY2026 utilization summary, which holds the payments made through 20 April 2026, with the later payments on those fills from this extract, classes as the current list defines them.</w:t>
      </w:r>
    </w:p>
    <w:p/>
    <w:p>
      <w:r>
        <w:t>Carrie Arellano</w:t>
        <w:br/>
        <w:t>MAC Pricing Lead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Company>Corvane Pharmacy Solutions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MAC update, 1 July 2027: proposed class</dc:title>
  <dc:creator>Carrie Arellano</dc:creator>
  <cp:lastModifiedBy>Carrie Arellano</cp:lastModifiedBy>
  <dcterms:created xsi:type="dcterms:W3CDTF">2027-04-28T14:05:00Z</dcterms:created>
  <dcterms:modified xsi:type="dcterms:W3CDTF">2027-04-30T20:12:41Z</dcterms:modified>
</cp:coreProperties>
</file>