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sz w:val="17"/>
        </w:rPr>
        <w:t>Talwerk Genossenschaft · Mitgliederprogramm</w:t>
      </w:r>
    </w:p>
    <w:tbl>
      <w:tblPr>
        <w:tblW w:type="auto" w:w="0"/>
        <w:tblLayout w:type="fixed"/>
        <w:tblLook w:firstColumn="1" w:firstRow="1" w:lastColumn="0" w:lastRow="0" w:noHBand="0" w:noVBand="1" w:val="04A0"/>
      </w:tblPr>
      <w:tblGrid>
        <w:gridCol w:w="1361"/>
        <w:gridCol w:w="7710"/>
      </w:tblGrid>
      <w:tr>
        <w:tc>
          <w:tcPr>
            <w:tcW w:type="dxa" w:w="1361"/>
          </w:tcPr>
          <w:p>
            <w:r>
              <w:rPr>
                <w:b/>
                <w:sz w:val="19"/>
              </w:rPr>
              <w:t>To</w:t>
            </w:r>
          </w:p>
        </w:tc>
        <w:tc>
          <w:tcPr>
            <w:tcW w:type="dxa" w:w="7710"/>
          </w:tcPr>
          <w:p>
            <w:r>
              <w:rPr>
                <w:b w:val="0"/>
                <w:sz w:val="19"/>
              </w:rPr>
              <w:t>Geschäftsleitung (executive board), budget round 2027</w:t>
            </w:r>
          </w:p>
        </w:tc>
      </w:tr>
      <w:tr>
        <w:tc>
          <w:tcPr>
            <w:tcW w:type="dxa" w:w="1361"/>
          </w:tcPr>
          <w:p>
            <w:r>
              <w:rPr>
                <w:b/>
                <w:sz w:val="19"/>
              </w:rPr>
              <w:t>From</w:t>
            </w:r>
          </w:p>
        </w:tc>
        <w:tc>
          <w:tcPr>
            <w:tcW w:type="dxa" w:w="7710"/>
          </w:tcPr>
          <w:p>
            <w:r>
              <w:rPr>
                <w:b w:val="0"/>
                <w:sz w:val="19"/>
              </w:rPr>
              <w:t>Patrice Keller, member programme</w:t>
            </w:r>
          </w:p>
        </w:tc>
      </w:tr>
      <w:tr>
        <w:tc>
          <w:tcPr>
            <w:tcW w:type="dxa" w:w="1361"/>
          </w:tcPr>
          <w:p>
            <w:r>
              <w:rPr>
                <w:b/>
                <w:sz w:val="19"/>
              </w:rPr>
              <w:t>Date</w:t>
            </w:r>
          </w:p>
        </w:tc>
        <w:tc>
          <w:tcPr>
            <w:tcW w:type="dxa" w:w="7710"/>
          </w:tcPr>
          <w:p>
            <w:r>
              <w:rPr>
                <w:b w:val="0"/>
                <w:sz w:val="19"/>
              </w:rPr>
              <w:t>12 October 2026</w:t>
            </w:r>
          </w:p>
        </w:tc>
      </w:tr>
      <w:tr>
        <w:tc>
          <w:tcPr>
            <w:tcW w:type="dxa" w:w="1361"/>
          </w:tcPr>
          <w:p>
            <w:r>
              <w:rPr>
                <w:b/>
                <w:sz w:val="19"/>
              </w:rPr>
              <w:t>Subject</w:t>
            </w:r>
          </w:p>
        </w:tc>
        <w:tc>
          <w:tcPr>
            <w:tcW w:type="dxa" w:w="7710"/>
          </w:tcPr>
          <w:p>
            <w:r>
              <w:rPr>
                <w:b w:val="0"/>
                <w:sz w:val="19"/>
              </w:rPr>
              <w:t>Member offer line, budget 2027 (agenda item 6, 4 November)</w:t>
            </w:r>
          </w:p>
        </w:tc>
      </w:tr>
    </w:tbl>
    <w:p>
      <w:pPr>
        <w:spacing w:after="80"/>
      </w:pPr>
      <w:r>
        <w:rPr>
          <w:b w:val="0"/>
          <w:i w:val="0"/>
        </w:rPr>
      </w:r>
    </w:p>
    <w:p>
      <w:pPr>
        <w:spacing w:after="160"/>
      </w:pPr>
      <w:r>
        <w:rPr>
          <w:b/>
          <w:i w:val="0"/>
          <w:sz w:val="30"/>
        </w:rPr>
        <w:t>The Frischbonus goes on every card in 2027</w:t>
      </w:r>
    </w:p>
    <w:p>
      <w:pPr>
        <w:spacing w:after="200"/>
      </w:pPr>
      <w:r>
        <w:rPr>
          <w:b/>
          <w:i w:val="0"/>
          <w:sz w:val="23"/>
        </w:rPr>
        <w:t>Recommendation: run the Frischbonus (fresh bonus) on every member card in 2027. Its 2027 programme value is CHF 972 thousand.</w:t>
      </w:r>
    </w:p>
    <w:p>
      <w:pPr>
        <w:spacing w:after="160"/>
      </w:pPr>
      <w:r>
        <w:rPr>
          <w:b w:val="0"/>
          <w:i w:val="0"/>
        </w:rPr>
        <w:t>The Frischbonus adds CHF 0.49 of net margin per active card-week at run rate. The Wochenauswahl comes second at CHF 0.34, so the Frischbonus is ahead by CHF 0.15 per card-week. The table puts every offer on the same footing, and the 2027 values are on the 37'920 active cards in finance's plan.</w:t>
      </w:r>
    </w:p>
    <w:tbl>
      <w:tblPr>
        <w:tblStyle w:val="TableGrid"/>
        <w:tblW w:type="auto" w:w="0"/>
        <w:tblLook w:firstColumn="1" w:firstRow="1" w:lastColumn="0" w:lastRow="0" w:noHBand="0" w:noVBand="1" w:val="04A0"/>
      </w:tblPr>
      <w:tblGrid>
        <w:gridCol w:w="3099"/>
        <w:gridCol w:w="3099"/>
        <w:gridCol w:w="3099"/>
      </w:tblGrid>
      <w:tr>
        <w:tc>
          <w:tcPr>
            <w:tcW w:type="dxa" w:w="3515"/>
            <w:shd w:val="clear" w:color="auto" w:fill="E4EAF1"/>
          </w:tcPr>
          <w:p>
            <w:r>
              <w:rPr>
                <w:b/>
                <w:sz w:val="19"/>
              </w:rPr>
              <w:t>Offer</w:t>
            </w:r>
          </w:p>
        </w:tc>
        <w:tc>
          <w:tcPr>
            <w:tcW w:type="dxa" w:w="2835"/>
            <w:shd w:val="clear" w:color="auto" w:fill="E4EAF1"/>
          </w:tcPr>
          <w:p>
            <w:pPr>
              <w:jc w:val="right"/>
            </w:pPr>
            <w:r>
              <w:rPr>
                <w:b/>
                <w:sz w:val="19"/>
              </w:rPr>
              <w:t>Net margin per active card-week (CHF)</w:t>
            </w:r>
          </w:p>
        </w:tc>
        <w:tc>
          <w:tcPr>
            <w:tcW w:type="dxa" w:w="2835"/>
            <w:shd w:val="clear" w:color="auto" w:fill="E4EAF1"/>
          </w:tcPr>
          <w:p>
            <w:pPr>
              <w:jc w:val="right"/>
            </w:pPr>
            <w:r>
              <w:rPr>
                <w:b/>
                <w:sz w:val="19"/>
              </w:rPr>
              <w:t>2027 programme value (CHF thousands)</w:t>
            </w:r>
          </w:p>
        </w:tc>
      </w:tr>
      <w:tr>
        <w:tc>
          <w:tcPr>
            <w:tcW w:type="dxa" w:w="3515"/>
          </w:tcPr>
          <w:p>
            <w:r>
              <w:rPr>
                <w:b/>
                <w:sz w:val="19"/>
              </w:rPr>
              <w:t>Frischbonus (fresh bonus)</w:t>
            </w:r>
          </w:p>
        </w:tc>
        <w:tc>
          <w:tcPr>
            <w:tcW w:type="dxa" w:w="2835"/>
          </w:tcPr>
          <w:p>
            <w:pPr>
              <w:jc w:val="right"/>
            </w:pPr>
            <w:r>
              <w:rPr>
                <w:b/>
                <w:sz w:val="19"/>
              </w:rPr>
              <w:t>0.49</w:t>
            </w:r>
          </w:p>
        </w:tc>
        <w:tc>
          <w:tcPr>
            <w:tcW w:type="dxa" w:w="2835"/>
          </w:tcPr>
          <w:p>
            <w:pPr>
              <w:jc w:val="right"/>
            </w:pPr>
            <w:r>
              <w:rPr>
                <w:b/>
                <w:sz w:val="19"/>
              </w:rPr>
              <w:t>972</w:t>
            </w:r>
          </w:p>
        </w:tc>
      </w:tr>
      <w:tr>
        <w:tc>
          <w:tcPr>
            <w:tcW w:type="dxa" w:w="3515"/>
          </w:tcPr>
          <w:p>
            <w:r>
              <w:rPr>
                <w:b w:val="0"/>
                <w:sz w:val="19"/>
              </w:rPr>
              <w:t>Wochenauswahl (weekly picks)</w:t>
            </w:r>
          </w:p>
        </w:tc>
        <w:tc>
          <w:tcPr>
            <w:tcW w:type="dxa" w:w="2835"/>
          </w:tcPr>
          <w:p>
            <w:pPr>
              <w:jc w:val="right"/>
            </w:pPr>
            <w:r>
              <w:rPr>
                <w:b w:val="0"/>
                <w:sz w:val="19"/>
              </w:rPr>
              <w:t>0.34</w:t>
            </w:r>
          </w:p>
        </w:tc>
        <w:tc>
          <w:tcPr>
            <w:tcW w:type="dxa" w:w="2835"/>
          </w:tcPr>
          <w:p>
            <w:pPr>
              <w:jc w:val="right"/>
            </w:pPr>
            <w:r>
              <w:rPr>
                <w:b w:val="0"/>
                <w:sz w:val="19"/>
              </w:rPr>
              <w:t>672</w:t>
            </w:r>
          </w:p>
        </w:tc>
      </w:tr>
      <w:tr>
        <w:tc>
          <w:tcPr>
            <w:tcW w:type="dxa" w:w="3515"/>
          </w:tcPr>
          <w:p>
            <w:r>
              <w:rPr>
                <w:b w:val="0"/>
                <w:sz w:val="19"/>
              </w:rPr>
              <w:t>Dreifachpunkte (triple points)</w:t>
            </w:r>
          </w:p>
        </w:tc>
        <w:tc>
          <w:tcPr>
            <w:tcW w:type="dxa" w:w="2835"/>
          </w:tcPr>
          <w:p>
            <w:pPr>
              <w:jc w:val="right"/>
            </w:pPr>
            <w:r>
              <w:rPr>
                <w:b w:val="0"/>
                <w:sz w:val="19"/>
              </w:rPr>
              <w:t>0.27</w:t>
            </w:r>
          </w:p>
        </w:tc>
        <w:tc>
          <w:tcPr>
            <w:tcW w:type="dxa" w:w="2835"/>
          </w:tcPr>
          <w:p>
            <w:pPr>
              <w:jc w:val="right"/>
            </w:pPr>
            <w:r>
              <w:rPr>
                <w:b w:val="0"/>
                <w:sz w:val="19"/>
              </w:rPr>
              <w:t>528</w:t>
            </w:r>
          </w:p>
        </w:tc>
      </w:tr>
      <w:tr>
        <w:tc>
          <w:tcPr>
            <w:tcW w:type="dxa" w:w="3515"/>
          </w:tcPr>
          <w:p>
            <w:r>
              <w:rPr>
                <w:b w:val="0"/>
                <w:sz w:val="19"/>
              </w:rPr>
              <w:t>Monatsziel (monthly target)</w:t>
            </w:r>
          </w:p>
        </w:tc>
        <w:tc>
          <w:tcPr>
            <w:tcW w:type="dxa" w:w="2835"/>
          </w:tcPr>
          <w:p>
            <w:pPr>
              <w:jc w:val="right"/>
            </w:pPr>
            <w:r>
              <w:rPr>
                <w:b w:val="0"/>
                <w:sz w:val="19"/>
              </w:rPr>
              <w:t>0.16</w:t>
            </w:r>
          </w:p>
        </w:tc>
        <w:tc>
          <w:tcPr>
            <w:tcW w:type="dxa" w:w="2835"/>
          </w:tcPr>
          <w:p>
            <w:pPr>
              <w:jc w:val="right"/>
            </w:pPr>
            <w:r>
              <w:rPr>
                <w:b w:val="0"/>
                <w:sz w:val="19"/>
              </w:rPr>
              <w:t>322</w:t>
            </w:r>
          </w:p>
        </w:tc>
      </w:tr>
    </w:tbl>
    <w:p>
      <w:pPr>
        <w:spacing w:after="200"/>
      </w:pPr>
      <w:r>
        <w:rPr>
          <w:b w:val="0"/>
          <w:i/>
          <w:sz w:val="16"/>
        </w:rPr>
        <w:t>Source: card-week sales facts, 6 April to 23 August 2026; ST26 allocation register; programme plan 2027 (version 2). Measured as in MP-3, revision 3.¹</w:t>
      </w:r>
    </w:p>
    <w:p>
      <w:pPr>
        <w:spacing w:after="40"/>
      </w:pPr>
      <w:r>
        <w:rPr>
          <w:b/>
          <w:i w:val="0"/>
        </w:rPr>
        <w:t>How we read the test</w:t>
      </w:r>
    </w:p>
    <w:p>
      <w:pPr>
        <w:spacing w:after="120"/>
      </w:pPr>
      <w:r>
        <w:rPr>
          <w:b w:val="0"/>
          <w:i w:val="0"/>
        </w:rPr>
        <w:t>The offer engine allocated cards, not memberships, and a membership's cards shop from one household budget. Where a membership's cards drew different cells, the card carrying an offer pulled baskets off its sibling cards. Read card by card, that moved spend shows up twice, once as a gain on the offer card and once as a loss on the card it came from, and none of it exists when every card carries the offer. So the figures above compare memberships whose cards all drew the same cell, which is what a full rollout looks like. Read card by card, the Wochenauswahl would have come out first.</w:t>
      </w:r>
    </w:p>
    <w:p>
      <w:pPr>
        <w:spacing w:after="200"/>
      </w:pPr>
      <w:r>
        <w:rPr>
          <w:b w:val="0"/>
          <w:i w:val="0"/>
        </w:rPr>
        <w:t>The CRM team expected the Monatsziel to win, and it did move more spend than any other offer during the test. Much of that spend was moved onto the voucher card to reach the CHF 250 monthly target, and the vouchers took most of the margin it added. The Dreifachpunkte started strongly and fell back after the first six weeks, which is why the run-rate weeks decide it.</w:t>
      </w:r>
    </w:p>
    <w:p>
      <w:pPr>
        <w:spacing w:after="40"/>
      </w:pPr>
      <w:r>
        <w:rPr>
          <w:b/>
          <w:i w:val="0"/>
        </w:rPr>
        <w:t>By region</w:t>
      </w:r>
    </w:p>
    <w:p>
      <w:pPr>
        <w:spacing w:after="80"/>
      </w:pPr>
      <w:r>
        <w:rPr>
          <w:b w:val="0"/>
          <w:i w:val="0"/>
          <w:sz w:val="19"/>
        </w:rPr>
        <w:t>The regional managers set their 2027 targets from this table. Net margin per active card-week in CHF, run rate.²</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2381"/>
            <w:shd w:val="clear" w:color="auto" w:fill="E4EAF1"/>
          </w:tcPr>
          <w:p>
            <w:r>
              <w:rPr>
                <w:b/>
                <w:sz w:val="19"/>
              </w:rPr>
              <w:t>Region</w:t>
            </w:r>
          </w:p>
        </w:tc>
        <w:tc>
          <w:tcPr>
            <w:tcW w:type="dxa" w:w="1701"/>
            <w:shd w:val="clear" w:color="auto" w:fill="E4EAF1"/>
          </w:tcPr>
          <w:p>
            <w:pPr>
              <w:jc w:val="right"/>
            </w:pPr>
            <w:r>
              <w:rPr>
                <w:b/>
                <w:sz w:val="19"/>
              </w:rPr>
              <w:t>Frischbonus</w:t>
            </w:r>
          </w:p>
        </w:tc>
        <w:tc>
          <w:tcPr>
            <w:tcW w:type="dxa" w:w="1701"/>
            <w:shd w:val="clear" w:color="auto" w:fill="E4EAF1"/>
          </w:tcPr>
          <w:p>
            <w:pPr>
              <w:jc w:val="right"/>
            </w:pPr>
            <w:r>
              <w:rPr>
                <w:b/>
                <w:sz w:val="19"/>
              </w:rPr>
              <w:t>Dreifachpunkte</w:t>
            </w:r>
          </w:p>
        </w:tc>
        <w:tc>
          <w:tcPr>
            <w:tcW w:type="dxa" w:w="1701"/>
            <w:shd w:val="clear" w:color="auto" w:fill="E4EAF1"/>
          </w:tcPr>
          <w:p>
            <w:pPr>
              <w:jc w:val="right"/>
            </w:pPr>
            <w:r>
              <w:rPr>
                <w:b/>
                <w:sz w:val="19"/>
              </w:rPr>
              <w:t>Monatsziel</w:t>
            </w:r>
          </w:p>
        </w:tc>
        <w:tc>
          <w:tcPr>
            <w:tcW w:type="dxa" w:w="1701"/>
            <w:shd w:val="clear" w:color="auto" w:fill="E4EAF1"/>
          </w:tcPr>
          <w:p>
            <w:pPr>
              <w:jc w:val="right"/>
            </w:pPr>
            <w:r>
              <w:rPr>
                <w:b/>
                <w:sz w:val="19"/>
              </w:rPr>
              <w:t>Wochenauswahl</w:t>
            </w:r>
          </w:p>
        </w:tc>
      </w:tr>
      <w:tr>
        <w:tc>
          <w:tcPr>
            <w:tcW w:type="dxa" w:w="2381"/>
          </w:tcPr>
          <w:p>
            <w:r>
              <w:rPr>
                <w:b w:val="0"/>
                <w:sz w:val="19"/>
              </w:rPr>
              <w:t>St. Gallen Stadt</w:t>
            </w:r>
          </w:p>
        </w:tc>
        <w:tc>
          <w:tcPr>
            <w:tcW w:type="dxa" w:w="1701"/>
          </w:tcPr>
          <w:p>
            <w:pPr>
              <w:jc w:val="right"/>
            </w:pPr>
            <w:r>
              <w:rPr>
                <w:b w:val="0"/>
                <w:sz w:val="19"/>
              </w:rPr>
              <w:t>0.55</w:t>
            </w:r>
          </w:p>
        </w:tc>
        <w:tc>
          <w:tcPr>
            <w:tcW w:type="dxa" w:w="1701"/>
          </w:tcPr>
          <w:p>
            <w:pPr>
              <w:jc w:val="right"/>
            </w:pPr>
            <w:r>
              <w:rPr>
                <w:b w:val="0"/>
                <w:sz w:val="19"/>
              </w:rPr>
              <w:t>0.30</w:t>
            </w:r>
          </w:p>
        </w:tc>
        <w:tc>
          <w:tcPr>
            <w:tcW w:type="dxa" w:w="1701"/>
          </w:tcPr>
          <w:p>
            <w:pPr>
              <w:jc w:val="right"/>
            </w:pPr>
            <w:r>
              <w:rPr>
                <w:b w:val="0"/>
                <w:sz w:val="19"/>
              </w:rPr>
              <w:t>0.21</w:t>
            </w:r>
          </w:p>
        </w:tc>
        <w:tc>
          <w:tcPr>
            <w:tcW w:type="dxa" w:w="1701"/>
          </w:tcPr>
          <w:p>
            <w:pPr>
              <w:jc w:val="right"/>
            </w:pPr>
            <w:r>
              <w:rPr>
                <w:b w:val="0"/>
                <w:sz w:val="19"/>
              </w:rPr>
              <w:t>0.40</w:t>
            </w:r>
          </w:p>
        </w:tc>
      </w:tr>
      <w:tr>
        <w:tc>
          <w:tcPr>
            <w:tcW w:type="dxa" w:w="2381"/>
          </w:tcPr>
          <w:p>
            <w:r>
              <w:rPr>
                <w:b w:val="0"/>
                <w:sz w:val="19"/>
              </w:rPr>
              <w:t>Fürstenland</w:t>
            </w:r>
          </w:p>
        </w:tc>
        <w:tc>
          <w:tcPr>
            <w:tcW w:type="dxa" w:w="1701"/>
          </w:tcPr>
          <w:p>
            <w:pPr>
              <w:jc w:val="right"/>
            </w:pPr>
            <w:r>
              <w:rPr>
                <w:b w:val="0"/>
                <w:sz w:val="19"/>
              </w:rPr>
              <w:t>0.42</w:t>
            </w:r>
          </w:p>
        </w:tc>
        <w:tc>
          <w:tcPr>
            <w:tcW w:type="dxa" w:w="1701"/>
          </w:tcPr>
          <w:p>
            <w:pPr>
              <w:jc w:val="right"/>
            </w:pPr>
            <w:r>
              <w:rPr>
                <w:b w:val="0"/>
                <w:sz w:val="19"/>
              </w:rPr>
              <w:t>0.20</w:t>
            </w:r>
          </w:p>
        </w:tc>
        <w:tc>
          <w:tcPr>
            <w:tcW w:type="dxa" w:w="1701"/>
          </w:tcPr>
          <w:p>
            <w:pPr>
              <w:jc w:val="right"/>
            </w:pPr>
            <w:r>
              <w:rPr>
                <w:b w:val="0"/>
                <w:sz w:val="19"/>
              </w:rPr>
              <w:t>0.09</w:t>
            </w:r>
          </w:p>
        </w:tc>
        <w:tc>
          <w:tcPr>
            <w:tcW w:type="dxa" w:w="1701"/>
          </w:tcPr>
          <w:p>
            <w:pPr>
              <w:jc w:val="right"/>
            </w:pPr>
            <w:r>
              <w:rPr>
                <w:b w:val="0"/>
                <w:sz w:val="19"/>
              </w:rPr>
              <w:t>0.25</w:t>
            </w:r>
          </w:p>
        </w:tc>
      </w:tr>
      <w:tr>
        <w:tc>
          <w:tcPr>
            <w:tcW w:type="dxa" w:w="2381"/>
          </w:tcPr>
          <w:p>
            <w:r>
              <w:rPr>
                <w:b w:val="0"/>
                <w:sz w:val="19"/>
              </w:rPr>
              <w:t>Rheintal</w:t>
            </w:r>
          </w:p>
        </w:tc>
        <w:tc>
          <w:tcPr>
            <w:tcW w:type="dxa" w:w="1701"/>
          </w:tcPr>
          <w:p>
            <w:pPr>
              <w:jc w:val="right"/>
            </w:pPr>
            <w:r>
              <w:rPr>
                <w:b w:val="0"/>
                <w:sz w:val="19"/>
              </w:rPr>
              <w:t>0.41</w:t>
            </w:r>
          </w:p>
        </w:tc>
        <w:tc>
          <w:tcPr>
            <w:tcW w:type="dxa" w:w="1701"/>
          </w:tcPr>
          <w:p>
            <w:pPr>
              <w:jc w:val="right"/>
            </w:pPr>
            <w:r>
              <w:rPr>
                <w:b w:val="0"/>
                <w:sz w:val="19"/>
              </w:rPr>
              <w:t>0.19</w:t>
            </w:r>
          </w:p>
        </w:tc>
        <w:tc>
          <w:tcPr>
            <w:tcW w:type="dxa" w:w="1701"/>
          </w:tcPr>
          <w:p>
            <w:pPr>
              <w:jc w:val="right"/>
            </w:pPr>
            <w:r>
              <w:rPr>
                <w:b w:val="0"/>
                <w:sz w:val="19"/>
              </w:rPr>
              <w:t>0.09</w:t>
            </w:r>
          </w:p>
        </w:tc>
        <w:tc>
          <w:tcPr>
            <w:tcW w:type="dxa" w:w="1701"/>
          </w:tcPr>
          <w:p>
            <w:pPr>
              <w:jc w:val="right"/>
            </w:pPr>
            <w:r>
              <w:rPr>
                <w:b w:val="0"/>
                <w:sz w:val="19"/>
              </w:rPr>
              <w:t>0.28</w:t>
            </w:r>
          </w:p>
        </w:tc>
      </w:tr>
      <w:tr>
        <w:tc>
          <w:tcPr>
            <w:tcW w:type="dxa" w:w="2381"/>
          </w:tcPr>
          <w:p>
            <w:r>
              <w:rPr>
                <w:b w:val="0"/>
                <w:sz w:val="19"/>
              </w:rPr>
              <w:t>Thurgau Ost</w:t>
            </w:r>
          </w:p>
        </w:tc>
        <w:tc>
          <w:tcPr>
            <w:tcW w:type="dxa" w:w="1701"/>
          </w:tcPr>
          <w:p>
            <w:pPr>
              <w:jc w:val="right"/>
            </w:pPr>
            <w:r>
              <w:rPr>
                <w:b w:val="0"/>
                <w:sz w:val="19"/>
              </w:rPr>
              <w:t>0.47</w:t>
            </w:r>
          </w:p>
        </w:tc>
        <w:tc>
          <w:tcPr>
            <w:tcW w:type="dxa" w:w="1701"/>
          </w:tcPr>
          <w:p>
            <w:pPr>
              <w:jc w:val="right"/>
            </w:pPr>
            <w:r>
              <w:rPr>
                <w:b w:val="0"/>
                <w:sz w:val="19"/>
              </w:rPr>
              <w:t>0.24</w:t>
            </w:r>
          </w:p>
        </w:tc>
        <w:tc>
          <w:tcPr>
            <w:tcW w:type="dxa" w:w="1701"/>
          </w:tcPr>
          <w:p>
            <w:pPr>
              <w:jc w:val="right"/>
            </w:pPr>
            <w:r>
              <w:rPr>
                <w:b w:val="0"/>
                <w:sz w:val="19"/>
              </w:rPr>
              <w:t>0.15</w:t>
            </w:r>
          </w:p>
        </w:tc>
        <w:tc>
          <w:tcPr>
            <w:tcW w:type="dxa" w:w="1701"/>
          </w:tcPr>
          <w:p>
            <w:pPr>
              <w:jc w:val="right"/>
            </w:pPr>
            <w:r>
              <w:rPr>
                <w:b w:val="0"/>
                <w:sz w:val="19"/>
              </w:rPr>
              <w:t>0.30</w:t>
            </w:r>
          </w:p>
        </w:tc>
      </w:tr>
      <w:tr>
        <w:tc>
          <w:tcPr>
            <w:tcW w:type="dxa" w:w="2381"/>
          </w:tcPr>
          <w:p>
            <w:r>
              <w:rPr>
                <w:b w:val="0"/>
                <w:sz w:val="19"/>
              </w:rPr>
              <w:t>Toggenburg</w:t>
            </w:r>
          </w:p>
        </w:tc>
        <w:tc>
          <w:tcPr>
            <w:tcW w:type="dxa" w:w="1701"/>
          </w:tcPr>
          <w:p>
            <w:pPr>
              <w:jc w:val="right"/>
            </w:pPr>
            <w:r>
              <w:rPr>
                <w:b w:val="0"/>
                <w:sz w:val="19"/>
              </w:rPr>
              <w:t>0.45</w:t>
            </w:r>
          </w:p>
        </w:tc>
        <w:tc>
          <w:tcPr>
            <w:tcW w:type="dxa" w:w="1701"/>
          </w:tcPr>
          <w:p>
            <w:pPr>
              <w:jc w:val="right"/>
            </w:pPr>
            <w:r>
              <w:rPr>
                <w:b w:val="0"/>
                <w:sz w:val="19"/>
              </w:rPr>
              <w:t>0.27</w:t>
            </w:r>
          </w:p>
        </w:tc>
        <w:tc>
          <w:tcPr>
            <w:tcW w:type="dxa" w:w="1701"/>
          </w:tcPr>
          <w:p>
            <w:pPr>
              <w:jc w:val="right"/>
            </w:pPr>
            <w:r>
              <w:rPr>
                <w:b w:val="0"/>
                <w:sz w:val="19"/>
              </w:rPr>
              <w:t>0.14</w:t>
            </w:r>
          </w:p>
        </w:tc>
        <w:tc>
          <w:tcPr>
            <w:tcW w:type="dxa" w:w="1701"/>
          </w:tcPr>
          <w:p>
            <w:pPr>
              <w:jc w:val="right"/>
            </w:pPr>
            <w:r>
              <w:rPr>
                <w:b w:val="0"/>
                <w:sz w:val="19"/>
              </w:rPr>
              <w:t>0.32</w:t>
            </w:r>
          </w:p>
        </w:tc>
      </w:tr>
      <w:tr>
        <w:tc>
          <w:tcPr>
            <w:tcW w:type="dxa" w:w="2381"/>
          </w:tcPr>
          <w:p>
            <w:r>
              <w:rPr>
                <w:b w:val="0"/>
                <w:sz w:val="19"/>
              </w:rPr>
              <w:t>Appenzellerland</w:t>
            </w:r>
          </w:p>
        </w:tc>
        <w:tc>
          <w:tcPr>
            <w:tcW w:type="dxa" w:w="1701"/>
          </w:tcPr>
          <w:p>
            <w:pPr>
              <w:jc w:val="right"/>
            </w:pPr>
            <w:r>
              <w:rPr>
                <w:b w:val="0"/>
                <w:sz w:val="19"/>
              </w:rPr>
              <w:t>0.58</w:t>
            </w:r>
          </w:p>
        </w:tc>
        <w:tc>
          <w:tcPr>
            <w:tcW w:type="dxa" w:w="1701"/>
          </w:tcPr>
          <w:p>
            <w:pPr>
              <w:jc w:val="right"/>
            </w:pPr>
            <w:r>
              <w:rPr>
                <w:b w:val="0"/>
                <w:sz w:val="19"/>
              </w:rPr>
              <w:t>0.33</w:t>
            </w:r>
          </w:p>
        </w:tc>
        <w:tc>
          <w:tcPr>
            <w:tcW w:type="dxa" w:w="1701"/>
          </w:tcPr>
          <w:p>
            <w:pPr>
              <w:jc w:val="right"/>
            </w:pPr>
            <w:r>
              <w:rPr>
                <w:b w:val="0"/>
                <w:sz w:val="19"/>
              </w:rPr>
              <w:t>0.22</w:t>
            </w:r>
          </w:p>
        </w:tc>
        <w:tc>
          <w:tcPr>
            <w:tcW w:type="dxa" w:w="1701"/>
          </w:tcPr>
          <w:p>
            <w:pPr>
              <w:jc w:val="right"/>
            </w:pPr>
            <w:r>
              <w:rPr>
                <w:b w:val="0"/>
                <w:sz w:val="19"/>
              </w:rPr>
              <w:t>0.41</w:t>
            </w:r>
          </w:p>
        </w:tc>
      </w:tr>
      <w:tr>
        <w:tc>
          <w:tcPr>
            <w:tcW w:type="dxa" w:w="2381"/>
          </w:tcPr>
          <w:p>
            <w:r>
              <w:rPr>
                <w:b/>
                <w:sz w:val="19"/>
              </w:rPr>
              <w:t>All regions</w:t>
            </w:r>
          </w:p>
        </w:tc>
        <w:tc>
          <w:tcPr>
            <w:tcW w:type="dxa" w:w="1701"/>
          </w:tcPr>
          <w:p>
            <w:pPr>
              <w:jc w:val="right"/>
            </w:pPr>
            <w:r>
              <w:rPr>
                <w:b/>
                <w:sz w:val="19"/>
              </w:rPr>
              <w:t>0.49</w:t>
            </w:r>
          </w:p>
        </w:tc>
        <w:tc>
          <w:tcPr>
            <w:tcW w:type="dxa" w:w="1701"/>
          </w:tcPr>
          <w:p>
            <w:pPr>
              <w:jc w:val="right"/>
            </w:pPr>
            <w:r>
              <w:rPr>
                <w:b/>
                <w:sz w:val="19"/>
              </w:rPr>
              <w:t>0.27</w:t>
            </w:r>
          </w:p>
        </w:tc>
        <w:tc>
          <w:tcPr>
            <w:tcW w:type="dxa" w:w="1701"/>
          </w:tcPr>
          <w:p>
            <w:pPr>
              <w:jc w:val="right"/>
            </w:pPr>
            <w:r>
              <w:rPr>
                <w:b/>
                <w:sz w:val="19"/>
              </w:rPr>
              <w:t>0.16</w:t>
            </w:r>
          </w:p>
        </w:tc>
        <w:tc>
          <w:tcPr>
            <w:tcW w:type="dxa" w:w="1701"/>
          </w:tcPr>
          <w:p>
            <w:pPr>
              <w:jc w:val="right"/>
            </w:pPr>
            <w:r>
              <w:rPr>
                <w:b/>
                <w:sz w:val="19"/>
              </w:rPr>
              <w:t>0.34</w:t>
            </w:r>
          </w:p>
        </w:tc>
      </w:tr>
    </w:tbl>
    <w:p>
      <w:pPr>
        <w:spacing w:after="200"/>
      </w:pPr>
      <w:r>
        <w:rPr>
          <w:b w:val="0"/>
          <w:i/>
          <w:sz w:val="16"/>
        </w:rPr>
        <w:t>Source: as above, by the membership's home branch.</w:t>
      </w:r>
    </w:p>
    <w:p>
      <w:pPr>
        <w:spacing w:after="40"/>
      </w:pPr>
      <w:r>
        <w:rPr>
          <w:b w:val="0"/>
          <w:i w:val="0"/>
          <w:sz w:val="16"/>
        </w:rPr>
        <w:t>¹ Net margin is gross margin less reward cost. Baseline weeks 2026-W15 to W22, run-rate weeks W29 to W34. Figures are per active card-week (every allocated card is active, a week without a purchase counts as zero), measured on the cards of memberships whose cards all drew the same cell. Annual value is the per card-week figure times 52 times the plan's active cards, rounded once.</w:t>
      </w:r>
    </w:p>
    <w:p>
      <w:pPr>
        <w:spacing w:after="40"/>
      </w:pPr>
      <w:r>
        <w:rPr>
          <w:b w:val="0"/>
          <w:i w:val="0"/>
          <w:sz w:val="16"/>
        </w:rPr>
        <w:t>² Regions of the network from 1 July 2026: Rorschach Hafen, Goldach and Thal in St. Gallen Stadt; Degersheim members with Herisau in Appenzellerland; Egnach members with Arbon.</w:t>
      </w:r>
    </w:p>
    <w:sectPr w:rsidR="00FC693F" w:rsidRPr="0006063C" w:rsidSect="00034616">
      <w:footerReference w:type="default" r:id="rId9"/>
      <w:pgSz w:w="11906" w:h="16838"/>
      <w:pgMar w:top="850" w:right="130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Mitgliederprogramm · Budget 2027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2562</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programme offer 2027</dc:title>
  <dc:subject/>
  <dc:creator>Patrice Keller</dc:creator>
  <cp:keywords/>
  <dc:description/>
  <cp:lastModifiedBy>Patrice Keller</cp:lastModifiedBy>
  <cp:revision>3</cp:revision>
  <dcterms:created xsi:type="dcterms:W3CDTF">2026-10-12T08:15:00Z</dcterms:created>
  <dcterms:modified xsi:type="dcterms:W3CDTF">2026-10-12T08:15:00Z</dcterms:modified>
  <cp:category/>
</cp:coreProperties>
</file>