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6B1F2A"/>
          <w:sz w:val="18"/>
        </w:rPr>
        <w:t>MARROWFIELD UNIVERSITY HEALTH</w:t>
      </w:r>
    </w:p>
    <w:p>
      <w:pPr>
        <w:spacing w:after="200"/>
      </w:pPr>
      <w:r>
        <w:rPr>
          <w:b w:val="0"/>
          <w:i w:val="0"/>
          <w:color w:val="5D6168"/>
          <w:sz w:val="18"/>
        </w:rPr>
        <w:t>Office of Research Integrity and Conflicts of Interest</w:t>
      </w:r>
    </w:p>
    <w:p>
      <w:pPr>
        <w:spacing w:after="240"/>
      </w:pPr>
      <w:r>
        <w:rPr>
          <w:b w:val="0"/>
          <w:i w:val="0"/>
          <w:sz w:val="20"/>
        </w:rPr>
        <w:t>To: Conflict of Interest Committee</w:t>
        <w:br/>
        <w:t>From: Karen Shea, Director</w:t>
        <w:br/>
        <w:t>Date: 27 January 2027</w:t>
        <w:br/>
        <w:t>Subject: Docket for the meeting of 11 February 2027</w:t>
      </w:r>
    </w:p>
    <w:p>
      <w:pPr>
        <w:spacing w:after="80"/>
      </w:pPr>
      <w:r>
        <w:rPr>
          <w:b/>
          <w:i w:val="0"/>
          <w:sz w:val="28"/>
        </w:rPr>
        <w:t>Fifteen faculty members for the February docket</w:t>
      </w:r>
    </w:p>
    <w:p>
      <w:pPr>
        <w:spacing w:after="120"/>
      </w:pPr>
      <w:r>
        <w:rPr>
          <w:b w:val="0"/>
          <w:i w:val="0"/>
        </w:rPr>
        <w:t>Under section 5 of Policy RI-14 the committee reviews the fifteen members of the clinical faculty with the largest remuneration from a single manufacturer in 2026. Open Payments will publish 2026 at the end of June, so the office has estimated each faculty member's remuneration from each manufacturer named in their 2026 annual disclosure: 279 faculty members holding an appointment on 31 December 2026 filed a 2026 disclosure naming a manufacturer, and all of them were estimated.</w:t>
      </w:r>
    </w:p>
    <w:p>
      <w:pPr>
        <w:spacing w:after="120"/>
      </w:pPr>
      <w:r>
        <w:rPr>
          <w:b w:val="0"/>
          <w:i w:val="0"/>
        </w:rPr>
        <w:t>Section 5.4 has the office use the estimate that comes closest to the latest year Open Payments has published. Made from the 2025 disclosures and the years before them, and compared with what Open Payments' January 2027 publication shows for each of the 309 faculty members estimated for 2025, this one comes closer than any estimate that reads a disclosure as covering its whole year, and the variants of it that come closer still name the same fifteen. A disclosure carries what each company had paid by the day it was submitted, so a disclosure submitted in December misses the payments made after it. Each faculty member's reporting share is the total they disclosed over the total the register shows paid by the day each disclosure was submitted, on the manufacturer-years for which both a disclosure and a publication show remuneration, 2021 to 2025, weighted toward the same share across the whole faculty by n/(n+2), n the number of those manufacturer-years, the whole-number weighting that comes closest. Each 2026 amount is divided by that share and, where the disclosure was submitted in December, by the share of the year's payments the same manufacturer had made by that date the year before. A faculty member's estimate is the largest of their manufacturers'.</w:t>
      </w:r>
    </w:p>
    <w:p>
      <w:pPr>
        <w:spacing w:after="200"/>
      </w:pPr>
      <w:r>
        <w:rPr>
          <w:b w:val="0"/>
          <w:i w:val="0"/>
        </w:rPr>
        <w:t>Five of the fifteen submitted their 2026 disclosure in the first days of December, before their retainers' December installments; corrected as if every disclosure covered the whole year, five of them would give way to faculty whose earlier December disclosures made them look like under-reporters. The record also carries faculty who disclose about half of what manufacturers report paying them, year after year, on records long enough to measure it; faculty whose records hold a single matched manufacturer-year are weighted toward the faculty-wide share rather than taken at their own.</w:t>
      </w:r>
    </w:p>
    <w:p>
      <w:pPr>
        <w:spacing w:after="60"/>
      </w:pPr>
      <w:r>
        <w:rPr>
          <w:b/>
          <w:i w:val="0"/>
          <w:sz w:val="22"/>
        </w:rPr>
        <w:t>The docket, in alphabetical order</w:t>
      </w:r>
    </w:p>
    <w:tbl>
      <w:tblPr>
        <w:tblStyle w:val="LightList"/>
        <w:tblW w:type="auto" w:w="0"/>
        <w:jc w:val="left"/>
        <w:tblLook w:firstColumn="1" w:firstRow="1" w:lastColumn="0" w:lastRow="0" w:noHBand="0" w:noVBand="1" w:val="04A0"/>
      </w:tblPr>
      <w:tblGrid>
        <w:gridCol w:w="2436"/>
        <w:gridCol w:w="2436"/>
        <w:gridCol w:w="2436"/>
        <w:gridCol w:w="2436"/>
      </w:tblGrid>
      <w:tr>
        <w:tc>
          <w:tcPr>
            <w:tcW w:type="dxa" w:w="2381"/>
          </w:tcPr>
          <w:p>
            <w:r>
              <w:rPr>
                <w:b/>
                <w:sz w:val="18"/>
              </w:rPr>
              <w:t>Faculty member</w:t>
            </w:r>
          </w:p>
        </w:tc>
        <w:tc>
          <w:tcPr>
            <w:tcW w:type="dxa" w:w="2494"/>
          </w:tcPr>
          <w:p>
            <w:r>
              <w:rPr>
                <w:b/>
                <w:sz w:val="18"/>
              </w:rPr>
              <w:t>Department</w:t>
            </w:r>
          </w:p>
        </w:tc>
        <w:tc>
          <w:tcPr>
            <w:tcW w:type="dxa" w:w="3515"/>
          </w:tcPr>
          <w:p>
            <w:r>
              <w:rPr>
                <w:b/>
                <w:sz w:val="18"/>
              </w:rPr>
              <w:t>Manufacturer of the largest 2026 remuneration</w:t>
            </w:r>
          </w:p>
        </w:tc>
        <w:tc>
          <w:tcPr>
            <w:tcW w:type="dxa" w:w="1474"/>
          </w:tcPr>
          <w:p>
            <w:r>
              <w:rPr>
                <w:b/>
                <w:sz w:val="18"/>
              </w:rPr>
              <w:t>Disclosed for 2026</w:t>
            </w:r>
          </w:p>
        </w:tc>
      </w:tr>
      <w:tr>
        <w:tc>
          <w:tcPr>
            <w:tcW w:type="dxa" w:w="2381"/>
          </w:tcPr>
          <w:p>
            <w:r>
              <w:rPr>
                <w:sz w:val="18"/>
              </w:rPr>
              <w:t>Adam Andersen</w:t>
            </w:r>
          </w:p>
        </w:tc>
        <w:tc>
          <w:tcPr>
            <w:tcW w:type="dxa" w:w="2494"/>
          </w:tcPr>
          <w:p>
            <w:r>
              <w:rPr>
                <w:sz w:val="18"/>
              </w:rPr>
              <w:t>Orthopaedic Surgery</w:t>
            </w:r>
          </w:p>
        </w:tc>
        <w:tc>
          <w:tcPr>
            <w:tcW w:type="dxa" w:w="3515"/>
          </w:tcPr>
          <w:p>
            <w:r>
              <w:rPr>
                <w:sz w:val="18"/>
              </w:rPr>
              <w:t>Glenarde Joint Technologies, Inc.</w:t>
            </w:r>
          </w:p>
        </w:tc>
        <w:tc>
          <w:tcPr>
            <w:tcW w:type="dxa" w:w="1474"/>
          </w:tcPr>
          <w:p>
            <w:pPr>
              <w:jc w:val="right"/>
            </w:pPr>
            <w:r>
              <w:rPr>
                <w:sz w:val="18"/>
              </w:rPr>
              <w:t>$128,000</w:t>
            </w:r>
          </w:p>
        </w:tc>
      </w:tr>
      <w:tr>
        <w:tc>
          <w:tcPr>
            <w:tcW w:type="dxa" w:w="2381"/>
          </w:tcPr>
          <w:p>
            <w:r>
              <w:rPr>
                <w:sz w:val="18"/>
              </w:rPr>
              <w:t>Kyle Avery</w:t>
            </w:r>
          </w:p>
        </w:tc>
        <w:tc>
          <w:tcPr>
            <w:tcW w:type="dxa" w:w="2494"/>
          </w:tcPr>
          <w:p>
            <w:r>
              <w:rPr>
                <w:sz w:val="18"/>
              </w:rPr>
              <w:t>Hematology and Oncology</w:t>
            </w:r>
          </w:p>
        </w:tc>
        <w:tc>
          <w:tcPr>
            <w:tcW w:type="dxa" w:w="3515"/>
          </w:tcPr>
          <w:p>
            <w:r>
              <w:rPr>
                <w:sz w:val="18"/>
              </w:rPr>
              <w:t>Norvell Therapeutics, Inc.</w:t>
            </w:r>
          </w:p>
        </w:tc>
        <w:tc>
          <w:tcPr>
            <w:tcW w:type="dxa" w:w="1474"/>
          </w:tcPr>
          <w:p>
            <w:pPr>
              <w:jc w:val="right"/>
            </w:pPr>
            <w:r>
              <w:rPr>
                <w:sz w:val="18"/>
              </w:rPr>
              <w:t>$92,000</w:t>
            </w:r>
          </w:p>
        </w:tc>
      </w:tr>
      <w:tr>
        <w:tc>
          <w:tcPr>
            <w:tcW w:type="dxa" w:w="2381"/>
          </w:tcPr>
          <w:p>
            <w:r>
              <w:rPr>
                <w:sz w:val="18"/>
              </w:rPr>
              <w:t>Fernando Baldwin</w:t>
            </w:r>
          </w:p>
        </w:tc>
        <w:tc>
          <w:tcPr>
            <w:tcW w:type="dxa" w:w="2494"/>
          </w:tcPr>
          <w:p>
            <w:r>
              <w:rPr>
                <w:sz w:val="18"/>
              </w:rPr>
              <w:t>Hematology and Oncology</w:t>
            </w:r>
          </w:p>
        </w:tc>
        <w:tc>
          <w:tcPr>
            <w:tcW w:type="dxa" w:w="3515"/>
          </w:tcPr>
          <w:p>
            <w:r>
              <w:rPr>
                <w:sz w:val="18"/>
              </w:rPr>
              <w:t>Ambrell Biologics, Inc.</w:t>
            </w:r>
          </w:p>
        </w:tc>
        <w:tc>
          <w:tcPr>
            <w:tcW w:type="dxa" w:w="1474"/>
          </w:tcPr>
          <w:p>
            <w:pPr>
              <w:jc w:val="right"/>
            </w:pPr>
            <w:r>
              <w:rPr>
                <w:sz w:val="18"/>
              </w:rPr>
              <w:t>$41,000</w:t>
            </w:r>
          </w:p>
        </w:tc>
      </w:tr>
      <w:tr>
        <w:tc>
          <w:tcPr>
            <w:tcW w:type="dxa" w:w="2381"/>
          </w:tcPr>
          <w:p>
            <w:r>
              <w:rPr>
                <w:sz w:val="18"/>
              </w:rPr>
              <w:t>Stacie Black *</w:t>
            </w:r>
          </w:p>
        </w:tc>
        <w:tc>
          <w:tcPr>
            <w:tcW w:type="dxa" w:w="2494"/>
          </w:tcPr>
          <w:p>
            <w:r>
              <w:rPr>
                <w:sz w:val="18"/>
              </w:rPr>
              <w:t>Orthopaedic Surgery</w:t>
            </w:r>
          </w:p>
        </w:tc>
        <w:tc>
          <w:tcPr>
            <w:tcW w:type="dxa" w:w="3515"/>
          </w:tcPr>
          <w:p>
            <w:r>
              <w:rPr>
                <w:sz w:val="18"/>
              </w:rPr>
              <w:t>Clevedon Surgical, Inc.</w:t>
            </w:r>
          </w:p>
        </w:tc>
        <w:tc>
          <w:tcPr>
            <w:tcW w:type="dxa" w:w="1474"/>
          </w:tcPr>
          <w:p>
            <w:pPr>
              <w:jc w:val="right"/>
            </w:pPr>
            <w:r>
              <w:rPr>
                <w:sz w:val="18"/>
              </w:rPr>
              <w:t>$54,000</w:t>
            </w:r>
          </w:p>
        </w:tc>
      </w:tr>
      <w:tr>
        <w:tc>
          <w:tcPr>
            <w:tcW w:type="dxa" w:w="2381"/>
          </w:tcPr>
          <w:p>
            <w:r>
              <w:rPr>
                <w:sz w:val="18"/>
              </w:rPr>
              <w:t>Alexis Drake</w:t>
            </w:r>
          </w:p>
        </w:tc>
        <w:tc>
          <w:tcPr>
            <w:tcW w:type="dxa" w:w="2494"/>
          </w:tcPr>
          <w:p>
            <w:r>
              <w:rPr>
                <w:sz w:val="18"/>
              </w:rPr>
              <w:t>Gastroenterology and Hepatology</w:t>
            </w:r>
          </w:p>
        </w:tc>
        <w:tc>
          <w:tcPr>
            <w:tcW w:type="dxa" w:w="3515"/>
          </w:tcPr>
          <w:p>
            <w:r>
              <w:rPr>
                <w:sz w:val="18"/>
              </w:rPr>
              <w:t>Fallowfield Therapeutics, Inc.</w:t>
            </w:r>
          </w:p>
        </w:tc>
        <w:tc>
          <w:tcPr>
            <w:tcW w:type="dxa" w:w="1474"/>
          </w:tcPr>
          <w:p>
            <w:pPr>
              <w:jc w:val="right"/>
            </w:pPr>
            <w:r>
              <w:rPr>
                <w:sz w:val="18"/>
              </w:rPr>
              <w:t>$102,000</w:t>
            </w:r>
          </w:p>
        </w:tc>
      </w:tr>
      <w:tr>
        <w:tc>
          <w:tcPr>
            <w:tcW w:type="dxa" w:w="2381"/>
          </w:tcPr>
          <w:p>
            <w:r>
              <w:rPr>
                <w:sz w:val="18"/>
              </w:rPr>
              <w:t>Henry Grimes</w:t>
            </w:r>
          </w:p>
        </w:tc>
        <w:tc>
          <w:tcPr>
            <w:tcW w:type="dxa" w:w="2494"/>
          </w:tcPr>
          <w:p>
            <w:r>
              <w:rPr>
                <w:sz w:val="18"/>
              </w:rPr>
              <w:t>Neurology</w:t>
            </w:r>
          </w:p>
        </w:tc>
        <w:tc>
          <w:tcPr>
            <w:tcW w:type="dxa" w:w="3515"/>
          </w:tcPr>
          <w:p>
            <w:r>
              <w:rPr>
                <w:sz w:val="18"/>
              </w:rPr>
              <w:t>Dunmere Neurotherapeutics, Inc.</w:t>
            </w:r>
          </w:p>
        </w:tc>
        <w:tc>
          <w:tcPr>
            <w:tcW w:type="dxa" w:w="1474"/>
          </w:tcPr>
          <w:p>
            <w:pPr>
              <w:jc w:val="right"/>
            </w:pPr>
            <w:r>
              <w:rPr>
                <w:sz w:val="18"/>
              </w:rPr>
              <w:t>$115,000</w:t>
            </w:r>
          </w:p>
        </w:tc>
      </w:tr>
      <w:tr>
        <w:tc>
          <w:tcPr>
            <w:tcW w:type="dxa" w:w="2381"/>
          </w:tcPr>
          <w:p>
            <w:r>
              <w:rPr>
                <w:sz w:val="18"/>
              </w:rPr>
              <w:t>Pedro Hampton *</w:t>
            </w:r>
          </w:p>
        </w:tc>
        <w:tc>
          <w:tcPr>
            <w:tcW w:type="dxa" w:w="2494"/>
          </w:tcPr>
          <w:p>
            <w:r>
              <w:rPr>
                <w:sz w:val="18"/>
              </w:rPr>
              <w:t>Gastroenterology and Hepatology</w:t>
            </w:r>
          </w:p>
        </w:tc>
        <w:tc>
          <w:tcPr>
            <w:tcW w:type="dxa" w:w="3515"/>
          </w:tcPr>
          <w:p>
            <w:r>
              <w:rPr>
                <w:sz w:val="18"/>
              </w:rPr>
              <w:t>Morvanne Pharmaceuticals, Inc.</w:t>
            </w:r>
          </w:p>
        </w:tc>
        <w:tc>
          <w:tcPr>
            <w:tcW w:type="dxa" w:w="1474"/>
          </w:tcPr>
          <w:p>
            <w:pPr>
              <w:jc w:val="right"/>
            </w:pPr>
            <w:r>
              <w:rPr>
                <w:sz w:val="18"/>
              </w:rPr>
              <w:t>$53,000</w:t>
            </w:r>
          </w:p>
        </w:tc>
      </w:tr>
      <w:tr>
        <w:tc>
          <w:tcPr>
            <w:tcW w:type="dxa" w:w="2381"/>
          </w:tcPr>
          <w:p>
            <w:r>
              <w:rPr>
                <w:sz w:val="18"/>
              </w:rPr>
              <w:t>Johnathan Kaiser</w:t>
            </w:r>
          </w:p>
        </w:tc>
        <w:tc>
          <w:tcPr>
            <w:tcW w:type="dxa" w:w="2494"/>
          </w:tcPr>
          <w:p>
            <w:r>
              <w:rPr>
                <w:sz w:val="18"/>
              </w:rPr>
              <w:t>Cardiovascular Medicine</w:t>
            </w:r>
          </w:p>
        </w:tc>
        <w:tc>
          <w:tcPr>
            <w:tcW w:type="dxa" w:w="3515"/>
          </w:tcPr>
          <w:p>
            <w:r>
              <w:rPr>
                <w:sz w:val="18"/>
              </w:rPr>
              <w:t>Pinewold Vascular, LLC</w:t>
            </w:r>
          </w:p>
        </w:tc>
        <w:tc>
          <w:tcPr>
            <w:tcW w:type="dxa" w:w="1474"/>
          </w:tcPr>
          <w:p>
            <w:pPr>
              <w:jc w:val="right"/>
            </w:pPr>
            <w:r>
              <w:rPr>
                <w:sz w:val="18"/>
              </w:rPr>
              <w:t>$48,000</w:t>
            </w:r>
          </w:p>
        </w:tc>
      </w:tr>
      <w:tr>
        <w:tc>
          <w:tcPr>
            <w:tcW w:type="dxa" w:w="2381"/>
          </w:tcPr>
          <w:p>
            <w:r>
              <w:rPr>
                <w:sz w:val="18"/>
              </w:rPr>
              <w:t>Kerry Leach *</w:t>
            </w:r>
          </w:p>
        </w:tc>
        <w:tc>
          <w:tcPr>
            <w:tcW w:type="dxa" w:w="2494"/>
          </w:tcPr>
          <w:p>
            <w:r>
              <w:rPr>
                <w:sz w:val="18"/>
              </w:rPr>
              <w:t>Cardiovascular Medicine</w:t>
            </w:r>
          </w:p>
        </w:tc>
        <w:tc>
          <w:tcPr>
            <w:tcW w:type="dxa" w:w="3515"/>
          </w:tcPr>
          <w:p>
            <w:r>
              <w:rPr>
                <w:sz w:val="18"/>
              </w:rPr>
              <w:t>Kelsall Vascular, LLC</w:t>
            </w:r>
          </w:p>
        </w:tc>
        <w:tc>
          <w:tcPr>
            <w:tcW w:type="dxa" w:w="1474"/>
          </w:tcPr>
          <w:p>
            <w:pPr>
              <w:jc w:val="right"/>
            </w:pPr>
            <w:r>
              <w:rPr>
                <w:sz w:val="18"/>
              </w:rPr>
              <w:t>$54,000</w:t>
            </w:r>
          </w:p>
        </w:tc>
      </w:tr>
      <w:tr>
        <w:tc>
          <w:tcPr>
            <w:tcW w:type="dxa" w:w="2381"/>
          </w:tcPr>
          <w:p>
            <w:r>
              <w:rPr>
                <w:sz w:val="18"/>
              </w:rPr>
              <w:t>Jillian Luna *</w:t>
            </w:r>
          </w:p>
        </w:tc>
        <w:tc>
          <w:tcPr>
            <w:tcW w:type="dxa" w:w="2494"/>
          </w:tcPr>
          <w:p>
            <w:r>
              <w:rPr>
                <w:sz w:val="18"/>
              </w:rPr>
              <w:t>Dermatology</w:t>
            </w:r>
          </w:p>
        </w:tc>
        <w:tc>
          <w:tcPr>
            <w:tcW w:type="dxa" w:w="3515"/>
          </w:tcPr>
          <w:p>
            <w:r>
              <w:rPr>
                <w:sz w:val="18"/>
              </w:rPr>
              <w:t>Varrick Pharmaceuticals, Inc.</w:t>
            </w:r>
          </w:p>
        </w:tc>
        <w:tc>
          <w:tcPr>
            <w:tcW w:type="dxa" w:w="1474"/>
          </w:tcPr>
          <w:p>
            <w:pPr>
              <w:jc w:val="right"/>
            </w:pPr>
            <w:r>
              <w:rPr>
                <w:sz w:val="18"/>
              </w:rPr>
              <w:t>$53,000</w:t>
            </w:r>
          </w:p>
        </w:tc>
      </w:tr>
      <w:tr>
        <w:tc>
          <w:tcPr>
            <w:tcW w:type="dxa" w:w="2381"/>
          </w:tcPr>
          <w:p>
            <w:r>
              <w:rPr>
                <w:sz w:val="18"/>
              </w:rPr>
              <w:t>Kirsten Middleton</w:t>
            </w:r>
          </w:p>
        </w:tc>
        <w:tc>
          <w:tcPr>
            <w:tcW w:type="dxa" w:w="2494"/>
          </w:tcPr>
          <w:p>
            <w:r>
              <w:rPr>
                <w:sz w:val="18"/>
              </w:rPr>
              <w:t>Cardiovascular Medicine</w:t>
            </w:r>
          </w:p>
        </w:tc>
        <w:tc>
          <w:tcPr>
            <w:tcW w:type="dxa" w:w="3515"/>
          </w:tcPr>
          <w:p>
            <w:r>
              <w:rPr>
                <w:sz w:val="18"/>
              </w:rPr>
              <w:t>Tilbrook Heart Technologies, Inc.</w:t>
            </w:r>
          </w:p>
        </w:tc>
        <w:tc>
          <w:tcPr>
            <w:tcW w:type="dxa" w:w="1474"/>
          </w:tcPr>
          <w:p>
            <w:pPr>
              <w:jc w:val="right"/>
            </w:pPr>
            <w:r>
              <w:rPr>
                <w:sz w:val="18"/>
              </w:rPr>
              <w:t>$109,000</w:t>
            </w:r>
          </w:p>
        </w:tc>
      </w:tr>
      <w:tr>
        <w:tc>
          <w:tcPr>
            <w:tcW w:type="dxa" w:w="2381"/>
          </w:tcPr>
          <w:p>
            <w:r>
              <w:rPr>
                <w:sz w:val="18"/>
              </w:rPr>
              <w:t>Vickie Nolan</w:t>
            </w:r>
          </w:p>
        </w:tc>
        <w:tc>
          <w:tcPr>
            <w:tcW w:type="dxa" w:w="2494"/>
          </w:tcPr>
          <w:p>
            <w:r>
              <w:rPr>
                <w:sz w:val="18"/>
              </w:rPr>
              <w:t>Urology</w:t>
            </w:r>
          </w:p>
        </w:tc>
        <w:tc>
          <w:tcPr>
            <w:tcW w:type="dxa" w:w="3515"/>
          </w:tcPr>
          <w:p>
            <w:r>
              <w:rPr>
                <w:sz w:val="18"/>
              </w:rPr>
              <w:t>Carrowmore Pharmaceuticals, Inc.</w:t>
            </w:r>
          </w:p>
        </w:tc>
        <w:tc>
          <w:tcPr>
            <w:tcW w:type="dxa" w:w="1474"/>
          </w:tcPr>
          <w:p>
            <w:pPr>
              <w:jc w:val="right"/>
            </w:pPr>
            <w:r>
              <w:rPr>
                <w:sz w:val="18"/>
              </w:rPr>
              <w:t>$51,000</w:t>
            </w:r>
          </w:p>
        </w:tc>
      </w:tr>
      <w:tr>
        <w:tc>
          <w:tcPr>
            <w:tcW w:type="dxa" w:w="2381"/>
          </w:tcPr>
          <w:p>
            <w:r>
              <w:rPr>
                <w:sz w:val="18"/>
              </w:rPr>
              <w:t>Ruth Rosario</w:t>
            </w:r>
          </w:p>
        </w:tc>
        <w:tc>
          <w:tcPr>
            <w:tcW w:type="dxa" w:w="2494"/>
          </w:tcPr>
          <w:p>
            <w:r>
              <w:rPr>
                <w:sz w:val="18"/>
              </w:rPr>
              <w:t>Neurology</w:t>
            </w:r>
          </w:p>
        </w:tc>
        <w:tc>
          <w:tcPr>
            <w:tcW w:type="dxa" w:w="3515"/>
          </w:tcPr>
          <w:p>
            <w:r>
              <w:rPr>
                <w:sz w:val="18"/>
              </w:rPr>
              <w:t>Pallister Neurotherapeutics, Inc.</w:t>
            </w:r>
          </w:p>
        </w:tc>
        <w:tc>
          <w:tcPr>
            <w:tcW w:type="dxa" w:w="1474"/>
          </w:tcPr>
          <w:p>
            <w:pPr>
              <w:jc w:val="right"/>
            </w:pPr>
            <w:r>
              <w:rPr>
                <w:sz w:val="18"/>
              </w:rPr>
              <w:t>$41,000</w:t>
            </w:r>
          </w:p>
        </w:tc>
      </w:tr>
      <w:tr>
        <w:tc>
          <w:tcPr>
            <w:tcW w:type="dxa" w:w="2381"/>
          </w:tcPr>
          <w:p>
            <w:r>
              <w:rPr>
                <w:sz w:val="18"/>
              </w:rPr>
              <w:t>Judith Valenzuela *</w:t>
            </w:r>
          </w:p>
        </w:tc>
        <w:tc>
          <w:tcPr>
            <w:tcW w:type="dxa" w:w="2494"/>
          </w:tcPr>
          <w:p>
            <w:r>
              <w:rPr>
                <w:sz w:val="18"/>
              </w:rPr>
              <w:t>Hematology and Oncology</w:t>
            </w:r>
          </w:p>
        </w:tc>
        <w:tc>
          <w:tcPr>
            <w:tcW w:type="dxa" w:w="3515"/>
          </w:tcPr>
          <w:p>
            <w:r>
              <w:rPr>
                <w:sz w:val="18"/>
              </w:rPr>
              <w:t>Yarrowby Oncology, Inc.</w:t>
            </w:r>
          </w:p>
        </w:tc>
        <w:tc>
          <w:tcPr>
            <w:tcW w:type="dxa" w:w="1474"/>
          </w:tcPr>
          <w:p>
            <w:pPr>
              <w:jc w:val="right"/>
            </w:pPr>
            <w:r>
              <w:rPr>
                <w:sz w:val="18"/>
              </w:rPr>
              <w:t>$53,000</w:t>
            </w:r>
          </w:p>
        </w:tc>
      </w:tr>
      <w:tr>
        <w:tc>
          <w:tcPr>
            <w:tcW w:type="dxa" w:w="2381"/>
          </w:tcPr>
          <w:p>
            <w:r>
              <w:rPr>
                <w:sz w:val="18"/>
              </w:rPr>
              <w:t>Traci Ware</w:t>
            </w:r>
          </w:p>
        </w:tc>
        <w:tc>
          <w:tcPr>
            <w:tcW w:type="dxa" w:w="2494"/>
          </w:tcPr>
          <w:p>
            <w:r>
              <w:rPr>
                <w:sz w:val="18"/>
              </w:rPr>
              <w:t>Orthopaedic Surgery</w:t>
            </w:r>
          </w:p>
        </w:tc>
        <w:tc>
          <w:tcPr>
            <w:tcW w:type="dxa" w:w="3515"/>
          </w:tcPr>
          <w:p>
            <w:r>
              <w:rPr>
                <w:sz w:val="18"/>
              </w:rPr>
              <w:t>Saltmere Joint Technologies, Inc.</w:t>
            </w:r>
          </w:p>
        </w:tc>
        <w:tc>
          <w:tcPr>
            <w:tcW w:type="dxa" w:w="1474"/>
          </w:tcPr>
          <w:p>
            <w:pPr>
              <w:jc w:val="right"/>
            </w:pPr>
            <w:r>
              <w:rPr>
                <w:sz w:val="18"/>
              </w:rPr>
              <w:t>$51,000</w:t>
            </w:r>
          </w:p>
        </w:tc>
      </w:tr>
    </w:tbl>
    <w:p>
      <w:pPr>
        <w:spacing w:after="200"/>
      </w:pPr>
      <w:r>
        <w:rPr>
          <w:b w:val="0"/>
          <w:i/>
          <w:color w:val="5D6168"/>
          <w:sz w:val="16"/>
        </w:rPr>
        <w:t>Departments are those of each faculty member's primary appointment on 31 December 2026. The amount disclosed is from the 2026 disclosure in force on 21 January 2027, rounded to the nearest thousand dollars; an asterisk marks a disclosure submitted in December 2026.</w:t>
      </w:r>
    </w:p>
    <w:p>
      <w:r>
        <w:drawing>
          <wp:inline xmlns:a="http://schemas.openxmlformats.org/drawingml/2006/main" xmlns:pic="http://schemas.openxmlformats.org/drawingml/2006/picture">
            <wp:extent cx="5940000" cy="3960000"/>
            <wp:docPr id="1" name="Picture 1"/>
            <wp:cNvGraphicFramePr>
              <a:graphicFrameLocks noChangeAspect="1"/>
            </wp:cNvGraphicFramePr>
            <a:graphic>
              <a:graphicData uri="http://schemas.openxmlformats.org/drawingml/2006/picture">
                <pic:pic>
                  <pic:nvPicPr>
                    <pic:cNvPr id="0" name="docket_chart.png"/>
                    <pic:cNvPicPr/>
                  </pic:nvPicPr>
                  <pic:blipFill>
                    <a:blip r:embed="rId10"/>
                    <a:stretch>
                      <a:fillRect/>
                    </a:stretch>
                  </pic:blipFill>
                  <pic:spPr>
                    <a:xfrm>
                      <a:off x="0" y="0"/>
                      <a:ext cx="5940000" cy="3960000"/>
                    </a:xfrm>
                    <a:prstGeom prst="rect"/>
                  </pic:spPr>
                </pic:pic>
              </a:graphicData>
            </a:graphic>
          </wp:inline>
        </w:drawing>
      </w:r>
    </w:p>
    <w:p>
      <w:pPr>
        <w:spacing w:after="200"/>
      </w:pPr>
      <w:r>
        <w:rPr>
          <w:b w:val="0"/>
          <w:i/>
          <w:color w:val="5D6168"/>
          <w:sz w:val="16"/>
        </w:rPr>
        <w:t>The lighter bars are the disclosures submitted in December 2026.</w:t>
      </w:r>
    </w:p>
    <w:p>
      <w:pPr>
        <w:spacing w:after="60"/>
      </w:pPr>
      <w:r>
        <w:rPr>
          <w:b/>
          <w:i w:val="0"/>
          <w:sz w:val="22"/>
        </w:rPr>
        <w:t>The 2026 disclosure cycle</w:t>
      </w:r>
    </w:p>
    <w:p>
      <w:pPr>
        <w:spacing w:after="60"/>
      </w:pPr>
      <w:r>
        <w:rPr>
          <w:b w:val="0"/>
          <w:i w:val="0"/>
        </w:rPr>
        <w:t>1,696 faculty members owed a 2026 disclosure, and 91 of them had not submitted it by 11:59 p.m. Eastern time on 15 January 2027.</w:t>
      </w:r>
    </w:p>
    <w:p>
      <w:pPr>
        <w:spacing w:after="200"/>
      </w:pPr>
      <w:r>
        <w:rPr>
          <w:b w:val="0"/>
          <w:i/>
          <w:color w:val="5D6168"/>
          <w:sz w:val="16"/>
        </w:rPr>
        <w:t>Owed: an appointment on 31 December 2026, each faculty member counted once; a faculty member whose employee number changed in 2026 filed under the number the disclosure system holds. Not submitted: no submission of the 2026 disclosure by the deadline; the disclosure system records times in UTC.</w:t>
      </w:r>
    </w:p>
    <w:p>
      <w:pPr>
        <w:spacing w:after="60"/>
      </w:pPr>
      <w:r>
        <w:rPr>
          <w:b/>
          <w:i w:val="0"/>
          <w:sz w:val="22"/>
        </w:rPr>
        <w:t>Open Payments, 2025: remuneration to the faculty</w:t>
      </w:r>
    </w:p>
    <w:tbl>
      <w:tblPr>
        <w:tblStyle w:val="LightList"/>
        <w:tblW w:type="auto" w:w="0"/>
        <w:jc w:val="left"/>
        <w:tblLook w:firstColumn="1" w:firstRow="1" w:lastColumn="0" w:lastRow="0" w:noHBand="0" w:noVBand="1" w:val="04A0"/>
      </w:tblPr>
      <w:tblGrid>
        <w:gridCol w:w="4873"/>
        <w:gridCol w:w="4873"/>
      </w:tblGrid>
      <w:tr>
        <w:tc>
          <w:tcPr>
            <w:tcW w:type="dxa" w:w="6236"/>
          </w:tcPr>
          <w:p>
            <w:r>
              <w:rPr>
                <w:b/>
                <w:sz w:val="18"/>
              </w:rPr>
              <w:t>Nature of payment</w:t>
            </w:r>
          </w:p>
        </w:tc>
        <w:tc>
          <w:tcPr>
            <w:tcW w:type="dxa" w:w="2268"/>
          </w:tcPr>
          <w:p>
            <w:r>
              <w:rPr>
                <w:b/>
                <w:sz w:val="18"/>
              </w:rPr>
              <w:t>Published for 2025</w:t>
            </w:r>
          </w:p>
        </w:tc>
      </w:tr>
      <w:tr>
        <w:tc>
          <w:tcPr>
            <w:tcW w:type="dxa" w:w="6236"/>
          </w:tcPr>
          <w:p>
            <w:r>
              <w:rPr>
                <w:sz w:val="18"/>
              </w:rPr>
              <w:t>Consulting fees</w:t>
            </w:r>
          </w:p>
        </w:tc>
        <w:tc>
          <w:tcPr>
            <w:tcW w:type="dxa" w:w="2268"/>
          </w:tcPr>
          <w:p>
            <w:pPr>
              <w:jc w:val="right"/>
            </w:pPr>
            <w:r>
              <w:rPr>
                <w:sz w:val="18"/>
              </w:rPr>
              <w:t>$4,463,000</w:t>
            </w:r>
          </w:p>
        </w:tc>
      </w:tr>
      <w:tr>
        <w:tc>
          <w:tcPr>
            <w:tcW w:type="dxa" w:w="6236"/>
          </w:tcPr>
          <w:p>
            <w:r>
              <w:rPr>
                <w:sz w:val="18"/>
              </w:rPr>
              <w:t>Services other than consulting, including speaking outside continuing education</w:t>
            </w:r>
          </w:p>
        </w:tc>
        <w:tc>
          <w:tcPr>
            <w:tcW w:type="dxa" w:w="2268"/>
          </w:tcPr>
          <w:p>
            <w:pPr>
              <w:jc w:val="right"/>
            </w:pPr>
            <w:r>
              <w:rPr>
                <w:sz w:val="18"/>
              </w:rPr>
              <w:t>$1,366,000</w:t>
            </w:r>
          </w:p>
        </w:tc>
      </w:tr>
      <w:tr>
        <w:tc>
          <w:tcPr>
            <w:tcW w:type="dxa" w:w="6236"/>
          </w:tcPr>
          <w:p>
            <w:r>
              <w:rPr>
                <w:sz w:val="18"/>
              </w:rPr>
              <w:t>Honoraria</w:t>
            </w:r>
          </w:p>
        </w:tc>
        <w:tc>
          <w:tcPr>
            <w:tcW w:type="dxa" w:w="2268"/>
          </w:tcPr>
          <w:p>
            <w:pPr>
              <w:jc w:val="right"/>
            </w:pPr>
            <w:r>
              <w:rPr>
                <w:sz w:val="18"/>
              </w:rPr>
              <w:t>$819,000</w:t>
            </w:r>
          </w:p>
        </w:tc>
      </w:tr>
      <w:tr>
        <w:tc>
          <w:tcPr>
            <w:tcW w:type="dxa" w:w="6236"/>
          </w:tcPr>
          <w:p>
            <w:r>
              <w:rPr>
                <w:sz w:val="18"/>
              </w:rPr>
              <w:t>Faculty or speaker, accredited or certified continuing education</w:t>
            </w:r>
          </w:p>
        </w:tc>
        <w:tc>
          <w:tcPr>
            <w:tcW w:type="dxa" w:w="2268"/>
          </w:tcPr>
          <w:p>
            <w:pPr>
              <w:jc w:val="right"/>
            </w:pPr>
            <w:r>
              <w:rPr>
                <w:sz w:val="18"/>
              </w:rPr>
              <w:t>$325,000</w:t>
            </w:r>
          </w:p>
        </w:tc>
      </w:tr>
      <w:tr>
        <w:tc>
          <w:tcPr>
            <w:tcW w:type="dxa" w:w="6236"/>
          </w:tcPr>
          <w:p>
            <w:r>
              <w:rPr>
                <w:sz w:val="18"/>
              </w:rPr>
              <w:t>Faculty or speaker, unaccredited continuing education</w:t>
            </w:r>
          </w:p>
        </w:tc>
        <w:tc>
          <w:tcPr>
            <w:tcW w:type="dxa" w:w="2268"/>
          </w:tcPr>
          <w:p>
            <w:pPr>
              <w:jc w:val="right"/>
            </w:pPr>
            <w:r>
              <w:rPr>
                <w:sz w:val="18"/>
              </w:rPr>
              <w:t>$198,000</w:t>
            </w:r>
          </w:p>
        </w:tc>
      </w:tr>
    </w:tbl>
    <w:p>
      <w:pPr>
        <w:spacing w:after="200"/>
      </w:pPr>
      <w:r>
        <w:rPr>
          <w:b w:val="0"/>
          <w:i/>
          <w:color w:val="5D6168"/>
          <w:sz w:val="16"/>
        </w:rPr>
        <w:t>Open Payments' publication of 15 January 2027. Faculty members who held an appointment at any time in 2025, all of their 2025 records; records tied to faculty through Open Payments' covered-recipient profiles; payments made to the university at a faculty member's request excluded. Rounded to the nearest thousand dollars.</w:t>
      </w:r>
    </w:p>
    <w:p>
      <w:pPr>
        <w:spacing w:after="60"/>
      </w:pPr>
      <w:r>
        <w:rPr>
          <w:b/>
          <w:i w:val="0"/>
          <w:sz w:val="22"/>
        </w:rPr>
        <w:t>2026 remuneration from companies outside Open Payments</w:t>
      </w:r>
    </w:p>
    <w:tbl>
      <w:tblPr>
        <w:tblStyle w:val="LightList"/>
        <w:tblW w:type="auto" w:w="0"/>
        <w:jc w:val="left"/>
        <w:tblLook w:firstColumn="1" w:firstRow="1" w:lastColumn="0" w:lastRow="0" w:noHBand="0" w:noVBand="1" w:val="04A0"/>
      </w:tblPr>
      <w:tblGrid>
        <w:gridCol w:w="4873"/>
        <w:gridCol w:w="4873"/>
      </w:tblGrid>
      <w:tr>
        <w:tc>
          <w:tcPr>
            <w:tcW w:type="dxa" w:w="6236"/>
          </w:tcPr>
          <w:p>
            <w:r>
              <w:rPr>
                <w:b/>
                <w:sz w:val="18"/>
              </w:rPr>
              <w:t>Relationship type</w:t>
            </w:r>
          </w:p>
        </w:tc>
        <w:tc>
          <w:tcPr>
            <w:tcW w:type="dxa" w:w="2268"/>
          </w:tcPr>
          <w:p>
            <w:r>
              <w:rPr>
                <w:b/>
                <w:sz w:val="18"/>
              </w:rPr>
              <w:t>Disclosed for 2026</w:t>
            </w:r>
          </w:p>
        </w:tc>
      </w:tr>
      <w:tr>
        <w:tc>
          <w:tcPr>
            <w:tcW w:type="dxa" w:w="6236"/>
          </w:tcPr>
          <w:p>
            <w:r>
              <w:rPr>
                <w:sz w:val="18"/>
              </w:rPr>
              <w:t>Consulting or advisory board</w:t>
            </w:r>
          </w:p>
        </w:tc>
        <w:tc>
          <w:tcPr>
            <w:tcW w:type="dxa" w:w="2268"/>
          </w:tcPr>
          <w:p>
            <w:pPr>
              <w:jc w:val="right"/>
            </w:pPr>
            <w:r>
              <w:rPr>
                <w:sz w:val="18"/>
              </w:rPr>
              <w:t>$56,000</w:t>
            </w:r>
          </w:p>
        </w:tc>
      </w:tr>
      <w:tr>
        <w:tc>
          <w:tcPr>
            <w:tcW w:type="dxa" w:w="6236"/>
          </w:tcPr>
          <w:p>
            <w:r>
              <w:rPr>
                <w:sz w:val="18"/>
              </w:rPr>
              <w:t>Speaking or teaching</w:t>
            </w:r>
          </w:p>
        </w:tc>
        <w:tc>
          <w:tcPr>
            <w:tcW w:type="dxa" w:w="2268"/>
          </w:tcPr>
          <w:p>
            <w:pPr>
              <w:jc w:val="right"/>
            </w:pPr>
            <w:r>
              <w:rPr>
                <w:sz w:val="18"/>
              </w:rPr>
              <w:t>$11,000</w:t>
            </w:r>
          </w:p>
        </w:tc>
      </w:tr>
      <w:tr>
        <w:tc>
          <w:tcPr>
            <w:tcW w:type="dxa" w:w="6236"/>
          </w:tcPr>
          <w:p>
            <w:r>
              <w:rPr>
                <w:sz w:val="18"/>
              </w:rPr>
              <w:t>Expert testimony</w:t>
            </w:r>
          </w:p>
        </w:tc>
        <w:tc>
          <w:tcPr>
            <w:tcW w:type="dxa" w:w="2268"/>
          </w:tcPr>
          <w:p>
            <w:pPr>
              <w:jc w:val="right"/>
            </w:pPr>
            <w:r>
              <w:rPr>
                <w:sz w:val="18"/>
              </w:rPr>
              <w:t>$97,000</w:t>
            </w:r>
          </w:p>
        </w:tc>
      </w:tr>
      <w:tr>
        <w:tc>
          <w:tcPr>
            <w:tcW w:type="dxa" w:w="6236"/>
          </w:tcPr>
          <w:p>
            <w:r>
              <w:rPr>
                <w:sz w:val="18"/>
              </w:rPr>
              <w:t>Other paid services</w:t>
            </w:r>
          </w:p>
        </w:tc>
        <w:tc>
          <w:tcPr>
            <w:tcW w:type="dxa" w:w="2268"/>
          </w:tcPr>
          <w:p>
            <w:pPr>
              <w:jc w:val="right"/>
            </w:pPr>
            <w:r>
              <w:rPr>
                <w:sz w:val="18"/>
              </w:rPr>
              <w:t>$3,000</w:t>
            </w:r>
          </w:p>
        </w:tc>
      </w:tr>
    </w:tbl>
    <w:p>
      <w:pPr>
        <w:spacing w:after="120"/>
      </w:pPr>
      <w:r>
        <w:rPr>
          <w:b w:val="0"/>
          <w:i/>
          <w:color w:val="5D6168"/>
          <w:sz w:val="16"/>
        </w:rPr>
        <w:t>From the 2026 disclosures in force: companies that appear in Open Payments under no name, the names manufacturers reported under in earlier years included; two companies the entity list still shows without an identifier have reported to Open Payments since program year 2025. Rounded to the nearest thousand dollars.</w:t>
      </w:r>
    </w:p>
    <w:sectPr w:rsidR="00FC693F" w:rsidRPr="0006063C" w:rsidSect="00034616">
      <w:footerReference w:type="default" r:id="rId9"/>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5"/>
      </w:rPr>
      <w:t>Marrowfield University Health, Office of Research Integrity and Conflicts of Interest. Docket for the meeting of 11 February 2027. Confidential: committee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Company>Marrowfield University Health</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Docket for the meeting of 11 February 2027</dc:title>
  <dc:creator>Karen Shea</dc:creator>
  <cp:lastModifiedBy>Karen Shea</cp:lastModifiedBy>
  <dcterms:created xsi:type="dcterms:W3CDTF">2027-01-26T15:10:00Z</dcterms:created>
  <dcterms:modified xsi:type="dcterms:W3CDTF">2027-01-27T14:22:41Z</dcterms:modified>
</cp:coreProperties>
</file>