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57C" w14:textId="77777777" w:rsidR="00A0F3D7" w:rsidRDefault="00A0F3D7" w:rsidP="00A0F3D7">
      <w:pPr>
        <w:pStyle w:val="Title"/>
      </w:pPr>
      <w:r>
        <w:t>CRM-ECL-04 Expected credit loss: unsecured personal loans (collective model)</w:t>
      </w:r>
    </w:p>
    <w:p w14:paraId="42570CAC" w14:textId="77777777" w:rsidR="0090D7E2" w:rsidRDefault="0090D7E2" w:rsidP="0090D7E2">
      <w:pPr>
        <w:spacing w:after="40"/>
      </w:pPr>
      <w:r>
        <w:rPr>
          <w:color w:val="595959"/>
          <w:sz w:val="17"/>
          <w:szCs w:val="17"/>
        </w:rPr>
        <w:t>Credit Risk Management policy and method library</w:t>
      </w:r>
    </w:p>
    <w:tbl>
      <w:tblPr>
        <w:tblStyle w:val="TableGrid"/>
        <w:tblW w:w="0" w:type="auto"/>
        <w:tblLook w:val="04A0" w:firstRow="1" w:lastRow="0" w:firstColumn="1" w:lastColumn="0" w:noHBand="0" w:noVBand="1"/>
      </w:tblPr>
      <w:tblGrid>
        <w:gridCol w:w="2600"/>
        <w:gridCol w:w="6400"/>
      </w:tblGrid>
      <w:tr w:rsidR="00A0F3D7" w:rsidTr="00A0F3D7" w14:paraId="0481EBB6" w14:textId="77777777">
        <w:trPr>
          <w:cantSplit/>
        </w:trPr>
        <w:tc>
          <w:tcPr>
            <w:tcW w:w="2600" w:type="dxa"/>
            <w:shd w:val="clear" w:color="auto" w:fill="E7ECEF"/>
          </w:tcPr>
          <w:p w14:paraId="21F1006E" w14:textId="77777777" w:rsidR="0090D7E2" w:rsidRDefault="0090D7E2" w:rsidP="0090D7E2">
            <w:pPr>
              <w:keepNext/>
              <w:spacing w:before="40" w:after="40"/>
            </w:pPr>
            <w:r>
              <w:rPr>
                <w:b/>
                <w:bCs/>
                <w:sz w:val="19"/>
                <w:szCs w:val="19"/>
              </w:rPr>
              <w:t>Document control</w:t>
            </w:r>
          </w:p>
        </w:tc>
        <w:tc>
          <w:tcPr>
            <w:tcW w:w="6400" w:type="dxa"/>
            <w:shd w:val="clear" w:color="auto" w:fill="E7ECEF"/>
          </w:tcPr>
          <w:p w14:paraId="4C3C5DFD" w14:textId="77777777" w:rsidR="001ADA31" w:rsidRDefault="001ADA31" w:rsidP="001ADA31">
            <w:pPr>
              <w:keepNext/>
              <w:spacing w:before="40" w:after="40"/>
            </w:pPr>
            <w:r>
              <w:rPr>
                <w:b/>
                <w:bCs/>
                <w:sz w:val="19"/>
                <w:szCs w:val="19"/>
              </w:rPr>
              <w:t/>
            </w:r>
          </w:p>
        </w:tc>
      </w:tr>
      <w:tr w:rsidR="00A0F3D7" w:rsidTr="00A0F3D7" w14:paraId="57E610C0" w14:textId="77777777">
        <w:trPr>
          <w:cantSplit/>
        </w:trPr>
        <w:tc>
          <w:tcPr>
            <w:tcW w:w="2600" w:type="dxa"/>
          </w:tcPr>
          <w:p w14:paraId="659E46E7" w14:textId="77777777" w:rsidR="00A0F3D7" w:rsidRDefault="00A0F3D7" w:rsidP="00A0F3D7">
            <w:pPr>
              <w:keepNext/>
              <w:spacing w:before="40" w:after="40"/>
            </w:pPr>
            <w:r>
              <w:rPr>
                <w:sz w:val="19"/>
                <w:szCs w:val="19"/>
              </w:rPr>
              <w:t>Document number</w:t>
            </w:r>
          </w:p>
        </w:tc>
        <w:tc>
          <w:tcPr>
            <w:tcW w:w="6400" w:type="dxa"/>
          </w:tcPr>
          <w:p w14:paraId="6000FF28" w14:textId="77777777" w:rsidR="00A0F3D7" w:rsidRDefault="00A0F3D7" w:rsidP="00A0F3D7">
            <w:pPr>
              <w:keepNext/>
              <w:spacing w:before="40" w:after="40"/>
            </w:pPr>
            <w:r>
              <w:rPr>
                <w:sz w:val="19"/>
                <w:szCs w:val="19"/>
              </w:rPr>
              <w:t>CRM-ECL-04</w:t>
            </w:r>
          </w:p>
        </w:tc>
      </w:tr>
      <w:tr w:rsidR="00A0F3D7" w:rsidTr="00A0F3D7" w14:paraId="550A6E41" w14:textId="77777777">
        <w:trPr>
          <w:cantSplit/>
        </w:trPr>
        <w:tc>
          <w:tcPr>
            <w:tcW w:w="2600" w:type="dxa"/>
          </w:tcPr>
          <w:p w14:paraId="70F68D14" w14:textId="77777777" w:rsidR="00A0F3D7" w:rsidRDefault="00A0F3D7" w:rsidP="00A0F3D7">
            <w:pPr>
              <w:keepNext/>
              <w:spacing w:before="40" w:after="40"/>
            </w:pPr>
            <w:r>
              <w:rPr>
                <w:sz w:val="19"/>
                <w:szCs w:val="19"/>
              </w:rPr>
              <w:t>Version</w:t>
            </w:r>
          </w:p>
        </w:tc>
        <w:tc>
          <w:tcPr>
            <w:tcW w:w="6400" w:type="dxa"/>
          </w:tcPr>
          <w:p w14:paraId="1E89AE04" w14:textId="77777777" w:rsidR="00A0F3D7" w:rsidRDefault="00A0F3D7" w:rsidP="00A0F3D7">
            <w:pPr>
              <w:keepNext/>
              <w:spacing w:before="40" w:after="40"/>
            </w:pPr>
            <w:r w:rsidR="00A1696F">
              <w:rPr>
                <w:sz w:val="19"/>
                <w:szCs w:val="19"/>
              </w:rPr>
              <w:t>4.2</w:t>
            </w:r>
          </w:p>
        </w:tc>
      </w:tr>
      <w:tr w:rsidR="00A0F3D7" w:rsidTr="00A0F3D7" w14:paraId="5700FF4B" w14:textId="77777777">
        <w:trPr>
          <w:cantSplit/>
        </w:trPr>
        <w:tc>
          <w:tcPr>
            <w:tcW w:w="2600" w:type="dxa"/>
          </w:tcPr>
          <w:p w14:paraId="5C5A746A" w14:textId="77777777" w:rsidR="00A0F3D7" w:rsidRDefault="00A0F3D7" w:rsidP="00A0F3D7">
            <w:pPr>
              <w:keepNext/>
              <w:spacing w:before="40" w:after="40"/>
            </w:pPr>
            <w:r>
              <w:rPr>
                <w:sz w:val="19"/>
                <w:szCs w:val="19"/>
              </w:rPr>
              <w:t>Status</w:t>
            </w:r>
          </w:p>
        </w:tc>
        <w:tc>
          <w:tcPr>
            <w:tcW w:w="6400" w:type="dxa"/>
          </w:tcPr>
          <w:p w14:paraId="2990D812" w14:textId="77777777" w:rsidR="00A0F3D7" w:rsidRDefault="00A0F3D7" w:rsidP="00A0F3D7">
            <w:pPr>
              <w:keepNext/>
              <w:spacing w:before="40" w:after="40"/>
            </w:pPr>
            <w:r>
              <w:rPr>
                <w:sz w:val="19"/>
                <w:szCs w:val="19"/>
              </w:rPr>
              <w:t>Approved</w:t>
            </w:r>
          </w:p>
        </w:tc>
      </w:tr>
      <w:tr w:rsidR="0090D7E2" w:rsidTr="0090D7E2" w14:paraId="45E6DA11" w14:textId="77777777">
        <w:trPr>
          <w:cantSplit/>
        </w:trPr>
        <w:tc>
          <w:tcPr>
            <w:tcW w:w="2600" w:type="dxa"/>
          </w:tcPr>
          <w:p w14:paraId="6F8860F8" w14:textId="77777777" w:rsidR="00A0F3D7" w:rsidRDefault="00A0F3D7" w:rsidP="00A0F3D7">
            <w:pPr>
              <w:keepNext/>
              <w:spacing w:before="40" w:after="40"/>
            </w:pPr>
            <w:r>
              <w:rPr>
                <w:sz w:val="19"/>
                <w:szCs w:val="19"/>
              </w:rPr>
              <w:t>Effective</w:t>
            </w:r>
          </w:p>
        </w:tc>
        <w:tc>
          <w:tcPr>
            <w:tcW w:w="6400" w:type="dxa"/>
          </w:tcPr>
          <w:p w14:paraId="3DAC4E73" w14:textId="77777777" w:rsidR="00A0F3D7" w:rsidRDefault="00A0F3D7" w:rsidP="00A0F3D7">
            <w:pPr>
              <w:keepNext/>
              <w:spacing w:before="40" w:after="40"/>
            </w:pPr>
            <w:r w:rsidR="00A1696F">
              <w:rPr>
                <w:sz w:val="19"/>
                <w:szCs w:val="19"/>
              </w:rPr>
              <w:t>1 September 2026</w:t>
            </w:r>
          </w:p>
        </w:tc>
      </w:tr>
      <w:tr w:rsidR="001ADA31" w:rsidTr="001ADA31" w14:paraId="246008AA" w14:textId="77777777">
        <w:trPr>
          <w:cantSplit/>
        </w:trPr>
        <w:tc>
          <w:tcPr>
            <w:tcW w:w="2600" w:type="dxa"/>
          </w:tcPr>
          <w:p w14:paraId="068B33F5" w14:textId="77777777" w:rsidR="0090D7E2" w:rsidRDefault="0090D7E2" w:rsidP="0090D7E2">
            <w:pPr>
              <w:keepNext/>
              <w:spacing w:before="40" w:after="40"/>
            </w:pPr>
            <w:r>
              <w:rPr>
                <w:sz w:val="19"/>
                <w:szCs w:val="19"/>
              </w:rPr>
              <w:t>Owner</w:t>
            </w:r>
          </w:p>
        </w:tc>
        <w:tc>
          <w:tcPr>
            <w:tcW w:w="6400" w:type="dxa"/>
          </w:tcPr>
          <w:p w14:paraId="37F5D571" w14:textId="77777777" w:rsidR="0090D7E2" w:rsidRDefault="0090D7E2" w:rsidP="0090D7E2">
            <w:pPr>
              <w:keepNext/>
              <w:spacing w:before="40" w:after="40"/>
            </w:pPr>
            <w:r>
              <w:rPr>
                <w:sz w:val="19"/>
                <w:szCs w:val="19"/>
              </w:rPr>
              <w:t>Head of Credit Risk Modelling</w:t>
            </w:r>
          </w:p>
        </w:tc>
      </w:tr>
      <w:tr w:rsidR="001ADA31" w:rsidTr="001ADA31" w14:paraId="53BAFD2A" w14:textId="77777777">
        <w:trPr>
          <w:cantSplit/>
        </w:trPr>
        <w:tc>
          <w:tcPr>
            <w:tcW w:w="2600" w:type="dxa"/>
          </w:tcPr>
          <w:p w14:paraId="27BAFF2D" w14:textId="77777777" w:rsidR="001ADA31" w:rsidRDefault="001ADA31" w:rsidP="001ADA31">
            <w:pPr>
              <w:keepNext/>
              <w:spacing w:before="40" w:after="40"/>
            </w:pPr>
            <w:r>
              <w:rPr>
                <w:sz w:val="19"/>
                <w:szCs w:val="19"/>
              </w:rPr>
              <w:t>Approver</w:t>
            </w:r>
          </w:p>
        </w:tc>
        <w:tc>
          <w:tcPr>
            <w:tcW w:w="6400" w:type="dxa"/>
          </w:tcPr>
          <w:p w14:paraId="607B5318" w14:textId="77777777" w:rsidR="001ADA31" w:rsidRDefault="001ADA31" w:rsidP="001ADA31">
            <w:pPr>
              <w:keepNext/>
              <w:spacing w:before="40" w:after="40"/>
            </w:pPr>
            <w:r>
              <w:rPr>
                <w:sz w:val="19"/>
                <w:szCs w:val="19"/>
              </w:rPr>
              <w:t>Audit and Risk Committee</w:t>
            </w:r>
          </w:p>
        </w:tc>
      </w:tr>
      <w:tr w:rsidR="0090D7E2" w:rsidTr="0090D7E2" w14:paraId="35778D84" w14:textId="77777777">
        <w:trPr>
          <w:cantSplit/>
        </w:trPr>
        <w:tc>
          <w:tcPr>
            <w:tcW w:w="2600" w:type="dxa"/>
          </w:tcPr>
          <w:p w14:paraId="447ABFBE" w14:textId="77777777" w:rsidR="001ADA31" w:rsidRDefault="001ADA31" w:rsidP="001ADA31">
            <w:pPr>
              <w:keepNext/>
              <w:spacing w:before="40" w:after="40"/>
            </w:pPr>
            <w:r>
              <w:rPr>
                <w:sz w:val="19"/>
                <w:szCs w:val="19"/>
              </w:rPr>
              <w:t>Next review</w:t>
            </w:r>
          </w:p>
        </w:tc>
        <w:tc>
          <w:tcPr>
            <w:tcW w:w="6400" w:type="dxa"/>
          </w:tcPr>
          <w:p w14:paraId="13B0D907" w14:textId="77777777" w:rsidR="0090D7E2" w:rsidRDefault="0090D7E2" w:rsidP="0090D7E2">
            <w:pPr>
              <w:keepNext/>
              <w:spacing w:before="40" w:after="40"/>
            </w:pPr>
            <w:r w:rsidR="00BB730E">
              <w:rPr>
                <w:sz w:val="19"/>
                <w:szCs w:val="19"/>
              </w:rPr>
              <w:t>May 2027</w:t>
            </w:r>
          </w:p>
        </w:tc>
      </w:tr>
      <w:tr w:rsidR="00A0F3D7" w:rsidTr="00A0F3D7" w14:paraId="4BDDAB8B" w14:textId="77777777">
        <w:trPr>
          <w:cantSplit/>
        </w:trPr>
        <w:tc>
          <w:tcPr>
            <w:tcW w:w="2600" w:type="dxa"/>
          </w:tcPr>
          <w:p w14:paraId="0FFB4D32" w14:textId="77777777" w:rsidR="0090D7E2" w:rsidRDefault="0090D7E2" w:rsidP="0090D7E2">
            <w:pPr>
              <w:spacing w:before="40" w:after="40"/>
            </w:pPr>
            <w:r>
              <w:rPr>
                <w:sz w:val="19"/>
                <w:szCs w:val="19"/>
              </w:rPr>
              <w:t>Related documents</w:t>
            </w:r>
          </w:p>
        </w:tc>
        <w:tc>
          <w:tcPr>
            <w:tcW w:w="6400" w:type="dxa"/>
          </w:tcPr>
          <w:p w14:paraId="6DE6E9CD" w14:textId="77777777" w:rsidR="0090D7E2" w:rsidRDefault="0090D7E2" w:rsidP="0090D7E2">
            <w:pPr>
              <w:spacing w:before="40" w:after="40"/>
            </w:pPr>
            <w:r w:rsidR="00BB730E">
              <w:rPr>
                <w:sz w:val="19"/>
                <w:szCs w:val="19"/>
              </w:rPr>
              <w:t>CRM-ECL-06 Stage 3 assessment; CRM-COL-02 Collections and write-off; HP-01 Financial hardship</w:t>
            </w:r>
          </w:p>
        </w:tc>
      </w:tr>
    </w:tbl>
    <w:p w14:paraId="61DDA62C" w14:textId="77777777" w:rsidR="001ADA31" w:rsidRDefault="001ADA31" w:rsidP="001ADA31">
      <w:pPr>
        <w:spacing w:after="60"/>
      </w:pPr>
    </w:p>
    <w:p w14:paraId="7A56ABEE" w14:textId="77777777" w:rsidR="001ADA31" w:rsidRDefault="001ADA31" w:rsidP="001ADA31">
      <w:pPr>
        <w:pStyle w:val="Heading1"/>
      </w:pPr>
      <w:r>
        <w:t>1. Scope and definitions</w:t>
      </w:r>
    </w:p>
    <w:p w14:paraId="34AE387A" w14:textId="77777777" w:rsidR="001ADA31" w:rsidRDefault="001ADA31" w:rsidP="001ADA31">
      <w:r>
        <w:t>1.1 This method sets the collective expected credit loss (ECL) allowance under AASB 9 Financial Instruments for PL36 and PL60 unsecured personal loans in stages 1 and 2. Loans in stage 3 (90 or more days past due) are assessed under CRM-ECL-06 and are outside this method.</w:t>
      </w:r>
    </w:p>
    <w:p w14:paraId="1D3919FC" w14:textId="77777777" w:rsidR="001ADA31" w:rsidRDefault="001ADA31" w:rsidP="001ADA31">
      <w:r>
        <w:t>1.2 A loan is in default when it is 90 or more days past due. The 90-day presumption in AASB 9 B5.5.37 is not rebutted for this portfolio, and loans in default are in stage 3.</w:t>
      </w:r>
    </w:p>
    <w:p w14:paraId="7C7156EE" w14:textId="77777777" w:rsidR="001ADA31" w:rsidRDefault="001ADA31" w:rsidP="001ADA31">
      <w:r>
        <w:t>1.3 Days past due are taken from the loan system at close of business on the reporting date.</w:t>
      </w:r>
    </w:p>
    <w:p w14:paraId="07F2D26C" w14:textId="77777777" w:rsidR="001ADA31" w:rsidRDefault="001ADA31" w:rsidP="001ADA31">
      <w:r>
        <w:t>1.4 Loans are written off under CRM-COL-02 in the month-end batch once 180 or more days past due. A loan that has been written off is closed in the loan system.</w:t>
      </w:r>
    </w:p>
    <w:p w14:paraId="110D0B6A" w14:textId="77777777" w:rsidR="00A0F3D7" w:rsidRDefault="00A0F3D7" w:rsidP="00A0F3D7">
      <w:r>
        <w:t>1.5 The gross carrying amount of a loan is its current balance in the loan system, with no adjustment for establishment fees (3.6).</w:t>
      </w:r>
    </w:p>
    <w:p w14:paraId="2345B9C0" w14:textId="77777777" w:rsidR="00A0F3D7" w:rsidRDefault="00A0F3D7" w:rsidP="00A0F3D7">
      <w:r>
        <w:t>1.6 The coverage ratio of a group of loans is its allowance as a percentage of its gross carrying amount.</w:t>
      </w:r>
    </w:p>
    <w:p w14:paraId="1C87E2E3" w14:textId="77777777" w:rsidR="00F2BC91" w:rsidRDefault="00F2BC91" w:rsidP="00F2BC91">
      <w:r>
        <w:t>1.7 A hardship arrangement under HP-01 varies a loan's repayments for a period. It is a modification that does not derecognise the loan: the loan keeps its contract rate and maturity date, and the modification gain or loss is immaterial and is not recognised.</w:t>
      </w:r>
    </w:p>
    <w:p w14:paraId="56892ACC" w14:textId="77777777" w:rsidR="00A0F3D7" w:rsidRDefault="00A0F3D7" w:rsidP="00A0F3D7">
      <w:pPr>
        <w:pStyle w:val="Heading1"/>
      </w:pPr>
      <w:r>
        <w:t>2. Staging</w:t>
      </w:r>
    </w:p>
    <w:p w14:paraId="386311F0" w14:textId="77777777" w:rsidR="0090D7E2" w:rsidRDefault="0090D7E2" w:rsidP="0090D7E2">
      <w:r>
        <w:t xml:space="preserve">2.1 A loan is in stage 2 if, at the reporting date, any of the following holds: it is 30 or more days past due; </w:t>
      </w:r>
      <w:r w:rsidR="003A4898">
        <w:t xml:space="preserve">a hardship arrangement is in force; </w:t>
      </w:r>
      <w:r>
        <w:t xml:space="preserve">or its behaviour score is 60 or more points below its score at origination, </w:t>
      </w:r>
      <w:r w:rsidR="00B67048">
        <w:t>both on the current (v4) scorecard</w:t>
      </w:r>
      <w:r>
        <w:t>. Otherwise it is in stage 1.</w:t>
      </w:r>
    </w:p>
    <w:p w14:paraId="7FEB8B54" w14:textId="77777777" w:rsidR="003A4898" w:rsidRDefault="003A4898" w:rsidP="003A4898">
      <w:r>
        <w:t>2.2 A hardship arrangement is in force from its start date to its end date, unless it has been cancelled.</w:t>
      </w:r>
    </w:p>
    <w:p w14:paraId="6A82DE08" w14:textId="77777777" w:rsidR="00B67048" w:rsidRDefault="00B67048" w:rsidP="00B67048">
      <w:r>
        <w:t>2.3 Origination scores recorded on the v3 scorecard are converted to v4 with the published migration formula before the comparison in 2.1.</w:t>
      </w:r>
    </w:p>
    <w:p w14:paraId="07A7CEAD" w14:textId="77777777" w:rsidR="00A0F3D7" w:rsidRDefault="00A0F3D7" w:rsidP="00A0F3D7">
      <w:r>
        <w:t xml:space="preserve">2.4 Transfers between stages are symmetrical. A loan returns to stage 1 at the first reporting date on which none of the conditions in 2.1 holds, and a loan that is no longer 90 or more days past due is staged under 2.1. </w:t>
      </w:r>
      <w:r w:rsidR="00C6A5D6">
        <w:t>There is no probation period, because the behaviour score already reflects a loan's recent repayment conduct.</w:t>
      </w:r>
    </w:p>
    <w:p w14:paraId="7C8D05EA" w14:textId="77777777" w:rsidR="001ADA31" w:rsidRDefault="001ADA31" w:rsidP="001ADA31">
      <w:r>
        <w:t>2.5 The presumption in AASB 9 5.5.11 that credit risk has increased significantly when contractual payments are more than 30 days past due is not rebutted; the 30 or more days past due condition in 2.1 meets it.</w:t>
      </w:r>
    </w:p>
    <w:p w14:paraId="4ED6AC1E" w14:textId="77777777" w:rsidR="001ADA31" w:rsidRDefault="001ADA31" w:rsidP="001ADA31">
      <w:pPr>
        <w:pStyle w:val="Heading1"/>
      </w:pPr>
      <w:r>
        <w:lastRenderedPageBreak/>
        <w:t>3. Expected credit loss</w:t>
      </w:r>
    </w:p>
    <w:p w14:paraId="16F7D51D" w14:textId="77777777" w:rsidR="001ADA31" w:rsidRDefault="001ADA31" w:rsidP="001ADA31">
      <w:r>
        <w:t>3.1 ECL = sum over future months k of PD(k) x LGD x EAD(k) x DF(k). Stage 1 loans use the next 12 months or the remaining term if shorter; stage 2 loans use the remaining term.</w:t>
      </w:r>
    </w:p>
    <w:p w14:paraId="09E13B75" w14:textId="77777777" w:rsidR="001ADA31" w:rsidRDefault="001ADA31" w:rsidP="001ADA31">
      <w:r>
        <w:t xml:space="preserve">3.2 PD(k), the probability of default in the k-th month after the reporting date, </w:t>
      </w:r>
      <w:r w:rsidR="00FFE7DA">
        <w:t>comes from Credit Risk Modelling's current cumulative default curve for the loan's product</w:t>
      </w:r>
      <w:r>
        <w:t xml:space="preserve"> </w:t>
      </w:r>
      <w:r w:rsidR="00A1696F">
        <w:t>(PLPD-2026.06)</w:t>
      </w:r>
      <w:r>
        <w:t xml:space="preserve">. </w:t>
      </w:r>
      <w:r w:rsidR="00C6A5D6">
        <w:t xml:space="preserve">Stage 2 loans carry the significant-increase scalar of 2.4 on PD(k). </w:t>
      </w:r>
      <w:r>
        <w:t xml:space="preserve">A loan's remaining term is its contractual term less the number of monthly repayments that have fallen due on or before the reporting date. </w:t>
      </w:r>
      <w:r w:rsidR="00C11340">
        <w:t xml:space="preserve">Repayment dates during a payment pause count as repayments fallen due, because a pause does not change the repayment schedule or the maturity date. </w:t>
      </w:r>
      <w:r w:rsidR="00FFE7DA">
        <w:t>A loan past its contractual maturity that is not in stage 3 is treated as being in the final month of its term, with a remaining term of one month.</w:t>
      </w:r>
    </w:p>
    <w:p w14:paraId="130EAF4E" w14:textId="77777777" w:rsidR="001ADA31" w:rsidRDefault="001ADA31" w:rsidP="001ADA31">
      <w:r>
        <w:t xml:space="preserve">3.3 LGD is 70 per cent for PL36 and </w:t>
      </w:r>
      <w:r w:rsidR="003A4898">
        <w:t>76 per cent</w:t>
      </w:r>
      <w:r>
        <w:t xml:space="preserve"> for PL60. </w:t>
      </w:r>
      <w:r w:rsidR="00A1696F">
        <w:t>Credit Risk Modelling reviews both each year against the realised loss on defaults with at least two years of recoveries behind them: the share of the balance at default not recovered since. Recoveries, including the proceeds of any sale of the debt, count at the end of the month in which they are received and are discounted to the default month end monthly at the contract rate, as in 3.5. A loan that returns to performing has lost nothing.</w:t>
      </w:r>
    </w:p>
    <w:p w14:paraId="16673221" w14:textId="77777777" w:rsidR="001ADA31" w:rsidRDefault="001ADA31" w:rsidP="001ADA31">
      <w:r>
        <w:t>3.4 EAD(k) is the balance outstanding at the start of month k when the current balance is repaid over the remaining term in equal monthly instalments at the contract rate.</w:t>
      </w:r>
    </w:p>
    <w:p w14:paraId="045B4F53" w14:textId="77777777" w:rsidR="001ADA31" w:rsidRDefault="001ADA31" w:rsidP="001ADA31">
      <w:r>
        <w:t>3.5 DF(k) discounts month k at the contract rate: (1 + contract rate / 12) to the power -k.</w:t>
      </w:r>
    </w:p>
    <w:p w14:paraId="4040D8B8" w14:textId="77777777" w:rsidR="001ADA31" w:rsidRDefault="001ADA31" w:rsidP="001ADA31">
      <w:r>
        <w:t>3.6 The contract rate is used as the effective interest rate. Establishment fees are taken to income when charged and are not deferred into the effective interest rate, because the effect on interest income and on the gross carrying amount is immaterial; the Chief Financial Officer approved this treatment in November 2019 and Group Finance confirms it at each year end.</w:t>
      </w:r>
    </w:p>
    <w:p w14:paraId="78DCCB2D" w14:textId="77777777" w:rsidR="00A0F3D7" w:rsidRDefault="00A0F3D7" w:rsidP="00A0F3D7">
      <w:r>
        <w:t>3.7 ECL is calculated for each loan and the allowance is their total; figures are rounded only when they are reported.</w:t>
      </w:r>
    </w:p>
    <w:p w14:paraId="3DB0B994" w14:textId="77777777" w:rsidR="00A0F3D7" w:rsidRDefault="00A0F3D7" w:rsidP="00A0F3D7">
      <w:pPr>
        <w:pStyle w:val="Heading1"/>
      </w:pPr>
      <w:r>
        <w:t>4. Forward-looking information</w:t>
      </w:r>
    </w:p>
    <w:p w14:paraId="5E3DD8B0" w14:textId="77777777" w:rsidR="00A0F3D7" w:rsidRDefault="00A0F3D7" w:rsidP="00A0F3D7">
      <w:r>
        <w:t>Each scenario in the quarter's approved scenario workbook scales PD(k) by its multiplier. The allowance is the probability-weighted sum of the scenario ECLs. Group Finance sets the scenarios and their weights each quarter from the economic outlook, and the Audit and Risk Committee approves them before the reporting date.</w:t>
      </w:r>
    </w:p>
    <w:p w14:paraId="13B6A810" w14:textId="77777777" w:rsidR="00A0F3D7" w:rsidRDefault="00A0F3D7" w:rsidP="00A0F3D7">
      <w:pPr>
        <w:pStyle w:val="Heading1"/>
      </w:pPr>
      <w:r>
        <w:t>5. Reporting</w:t>
      </w:r>
    </w:p>
    <w:p w14:paraId="1F6043ED" w14:textId="77777777" w:rsidR="003A4898" w:rsidRDefault="003A4898" w:rsidP="003A4898">
      <w:r>
        <w:t>The allowance is reported each quarter to the Board, after the Audit and Risk Committee has reviewed it, in Australian dollars by stage and product, with the coverage ratio for each.</w:t>
      </w:r>
    </w:p>
    <w:p w14:paraId="64F8D440" w14:textId="77777777" w:rsidR="00C11340" w:rsidRDefault="00C11340" w:rsidP="00C11340">
      <w:pPr>
        <w:pStyle w:val="Heading1"/>
      </w:pPr>
      <w:r>
        <w:t>6. Post-model adjustments</w:t>
      </w:r>
    </w:p>
    <w:p w14:paraId="0BB8E4B5" w14:textId="77777777" w:rsidR="00C11340" w:rsidRDefault="00C11340" w:rsidP="00C11340">
      <w:r>
        <w:t>An overlay is made only for a risk this method does not capture. It is approved by the Audit and Risk Committee with the condition for its release and reported separately from the modelled allowance.</w:t>
      </w:r>
    </w:p>
    <w:p w14:paraId="5DDD81D1" w14:textId="77777777" w:rsidR="00A0F3D7" w:rsidRDefault="00A0F3D7" w:rsidP="00A0F3D7">
      <w:pPr>
        <w:pStyle w:val="Heading1"/>
      </w:pPr>
      <w:r>
        <w:t>7. Limitations</w:t>
      </w:r>
    </w:p>
    <w:p w14:paraId="02327BDF" w14:textId="77777777" w:rsidR="00FFE7DA" w:rsidRDefault="00FFE7DA" w:rsidP="00FFE7DA">
      <w:r>
        <w:t>7.1 PD is set by product only. Risk grade, channel and state do not enter it.</w:t>
      </w:r>
    </w:p>
    <w:p w14:paraId="344CAD47" w14:textId="77777777" w:rsidR="00C6A5D6" w:rsidRDefault="00C6A5D6" w:rsidP="00C6A5D6">
      <w:r>
        <w:t>7.2 The stage 2 scalar was calibrated on arrears outcomes from 2023 to 2025 and is reviewed each year with the validation.</w:t>
      </w:r>
    </w:p>
    <w:p w14:paraId="1C48E0E3" w14:textId="77777777" w:rsidR="00A0F3D7" w:rsidRDefault="00A0F3D7" w:rsidP="00A0F3D7">
      <w:r>
        <w:t>7.3 LGD is a portfolio average for each product and does not vary with time in arrears or with the size of the balance.</w:t>
      </w:r>
    </w:p>
    <w:p w14:paraId="05ED9E7C" w14:textId="77777777" w:rsidR="001ADA31" w:rsidRDefault="001ADA31" w:rsidP="001ADA31">
      <w:r>
        <w:lastRenderedPageBreak/>
        <w:t xml:space="preserve">7.4 EAD(k) follows the repayment schedule; extra repayments </w:t>
      </w:r>
      <w:r w:rsidR="003A4898">
        <w:t xml:space="preserve">and hardship variations </w:t>
      </w:r>
      <w:r>
        <w:t>after the reporting date do not change it.</w:t>
      </w:r>
    </w:p>
    <w:p w14:paraId="7EBCD1BB" w14:textId="77777777" w:rsidR="0090D7E2" w:rsidRDefault="0090D7E2" w:rsidP="0090D7E2">
      <w:r>
        <w:t>7.5 Scenario multipliers scale PD only. LGD is not stressed.</w:t>
      </w:r>
    </w:p>
    <w:p w14:paraId="3BAEE2BB" w14:textId="77777777" w:rsidR="0090D7E2" w:rsidRDefault="0090D7E2" w:rsidP="0090D7E2">
      <w:pPr>
        <w:pStyle w:val="Heading1"/>
      </w:pPr>
      <w:r>
        <w:t>8. Governance</w:t>
      </w:r>
    </w:p>
    <w:p w14:paraId="07F3EAC9" w14:textId="77777777" w:rsidR="0090D7E2" w:rsidRDefault="0090D7E2" w:rsidP="0090D7E2">
      <w:r>
        <w:t>8.1 Credit Risk Modelling reviews this method each year, and sooner if the products, the portfolio or the source data change materially. Model Validation reviews it independently at least every two years.</w:t>
      </w:r>
    </w:p>
    <w:p w14:paraId="23D4EA11" w14:textId="77777777" w:rsidR="0090D7E2" w:rsidRDefault="0090D7E2" w:rsidP="0090D7E2">
      <w:pPr>
        <w:pStyle w:val="Heading2"/>
      </w:pPr>
      <w:r>
        <w:t>8.2 Sign-off</w:t>
      </w:r>
    </w:p>
    <w:tbl>
      <w:tblPr>
        <w:tblStyle w:val="TableGrid"/>
        <w:tblW w:w="0" w:type="auto"/>
        <w:tblLook w:val="04A0" w:firstRow="1" w:lastRow="0" w:firstColumn="1" w:lastColumn="0" w:noHBand="0" w:noVBand="1"/>
      </w:tblPr>
      <w:tblGrid>
        <w:gridCol w:w="1700"/>
        <w:gridCol w:w="5300"/>
        <w:gridCol w:w="2000"/>
      </w:tblGrid>
      <w:tr w:rsidR="00A0F3D7" w:rsidTr="00A0F3D7" w14:paraId="3FB7B9FA" w14:textId="77777777">
        <w:trPr>
          <w:cantSplit/>
        </w:trPr>
        <w:tc>
          <w:tcPr>
            <w:tcW w:w="1700" w:type="dxa"/>
            <w:shd w:val="clear" w:color="auto" w:fill="E7ECEF"/>
          </w:tcPr>
          <w:p w14:paraId="45865DBC" w14:textId="77777777" w:rsidR="001ADA31" w:rsidRDefault="001ADA31" w:rsidP="001ADA31">
            <w:pPr>
              <w:keepNext/>
              <w:spacing w:before="40" w:after="40"/>
            </w:pPr>
            <w:r>
              <w:rPr>
                <w:b/>
                <w:bCs/>
                <w:sz w:val="19"/>
                <w:szCs w:val="19"/>
              </w:rPr>
              <w:t>Role</w:t>
            </w:r>
          </w:p>
        </w:tc>
        <w:tc>
          <w:tcPr>
            <w:tcW w:w="5300" w:type="dxa"/>
            <w:shd w:val="clear" w:color="auto" w:fill="E7ECEF"/>
          </w:tcPr>
          <w:p w14:paraId="36B3B07A" w14:textId="77777777" w:rsidR="001ADA31" w:rsidRDefault="001ADA31" w:rsidP="001ADA31">
            <w:pPr>
              <w:keepNext/>
              <w:spacing w:before="40" w:after="40"/>
            </w:pPr>
            <w:r>
              <w:rPr>
                <w:b/>
                <w:bCs/>
                <w:sz w:val="19"/>
                <w:szCs w:val="19"/>
              </w:rPr>
              <w:t>Name and position</w:t>
            </w:r>
          </w:p>
        </w:tc>
        <w:tc>
          <w:tcPr>
            <w:tcW w:w="2000" w:type="dxa"/>
            <w:shd w:val="clear" w:color="auto" w:fill="E7ECEF"/>
          </w:tcPr>
          <w:p w14:paraId="51558517" w14:textId="77777777" w:rsidR="001ADA31" w:rsidRDefault="001ADA31" w:rsidP="001ADA31">
            <w:pPr>
              <w:keepNext/>
              <w:spacing w:before="40" w:after="40"/>
            </w:pPr>
            <w:r>
              <w:rPr>
                <w:b/>
                <w:bCs/>
                <w:sz w:val="19"/>
                <w:szCs w:val="19"/>
              </w:rPr>
              <w:t>Date</w:t>
            </w:r>
          </w:p>
        </w:tc>
      </w:tr>
      <w:tr w:rsidR="0090D7E2" w:rsidTr="0090D7E2" w14:paraId="50BAC56A" w14:textId="77777777">
        <w:trPr>
          <w:cantSplit/>
        </w:trPr>
        <w:tc>
          <w:tcPr>
            <w:tcW w:w="1700" w:type="dxa"/>
          </w:tcPr>
          <w:p w14:paraId="3DB3AD07" w14:textId="77777777" w:rsidR="00A0F3D7" w:rsidRDefault="00A0F3D7" w:rsidP="00A0F3D7">
            <w:pPr>
              <w:keepNext/>
              <w:spacing w:before="40" w:after="40"/>
            </w:pPr>
            <w:r>
              <w:rPr>
                <w:sz w:val="19"/>
                <w:szCs w:val="19"/>
              </w:rPr>
              <w:t>Prepared</w:t>
            </w:r>
          </w:p>
        </w:tc>
        <w:tc>
          <w:tcPr>
            <w:tcW w:w="5300" w:type="dxa"/>
          </w:tcPr>
          <w:p w14:paraId="1EACA5B6" w14:textId="77777777" w:rsidR="00A0F3D7" w:rsidRDefault="00A0F3D7" w:rsidP="00A0F3D7">
            <w:pPr>
              <w:keepNext/>
              <w:spacing w:before="40" w:after="40"/>
            </w:pPr>
            <w:r>
              <w:rPr>
                <w:sz w:val="19"/>
                <w:szCs w:val="19"/>
              </w:rPr>
              <w:t>Matthew Gardner, Head of Credit Risk Modelling</w:t>
            </w:r>
          </w:p>
        </w:tc>
        <w:tc>
          <w:tcPr>
            <w:tcW w:w="2000" w:type="dxa"/>
          </w:tcPr>
          <w:p w14:paraId="064F209A" w14:textId="77777777" w:rsidR="00A0F3D7" w:rsidRDefault="00A0F3D7" w:rsidP="00A0F3D7">
            <w:pPr>
              <w:keepNext/>
              <w:spacing w:before="40" w:after="40"/>
            </w:pPr>
            <w:r w:rsidR="00C3A3D8">
              <w:rPr>
                <w:sz w:val="19"/>
                <w:szCs w:val="19"/>
              </w:rPr>
              <w:t>4 August 2026</w:t>
            </w:r>
          </w:p>
        </w:tc>
      </w:tr>
      <w:tr w:rsidR="00A0F3D7" w:rsidTr="00A0F3D7" w14:paraId="21C406EE" w14:textId="77777777">
        <w:trPr>
          <w:cantSplit/>
        </w:trPr>
        <w:tc>
          <w:tcPr>
            <w:tcW w:w="1700" w:type="dxa"/>
          </w:tcPr>
          <w:p w14:paraId="1BC95649" w14:textId="77777777" w:rsidR="001ADA31" w:rsidRDefault="001ADA31" w:rsidP="001ADA31">
            <w:pPr>
              <w:keepNext/>
              <w:spacing w:before="40" w:after="40"/>
            </w:pPr>
            <w:r>
              <w:rPr>
                <w:sz w:val="19"/>
                <w:szCs w:val="19"/>
              </w:rPr>
              <w:t>Reviewed</w:t>
            </w:r>
          </w:p>
        </w:tc>
        <w:tc>
          <w:tcPr>
            <w:tcW w:w="5300" w:type="dxa"/>
          </w:tcPr>
          <w:p w14:paraId="44E7D9DF" w14:textId="77777777" w:rsidR="001ADA31" w:rsidRDefault="001ADA31" w:rsidP="001ADA31">
            <w:pPr>
              <w:keepNext/>
              <w:spacing w:before="40" w:after="40"/>
            </w:pPr>
            <w:r w:rsidR="003A4898">
              <w:rPr>
                <w:sz w:val="19"/>
                <w:szCs w:val="19"/>
              </w:rPr>
              <w:t>Adam Gordon, Manager, Model Validation</w:t>
            </w:r>
          </w:p>
        </w:tc>
        <w:tc>
          <w:tcPr>
            <w:tcW w:w="2000" w:type="dxa"/>
          </w:tcPr>
          <w:p w14:paraId="071FEE2B" w14:textId="77777777" w:rsidR="001ADA31" w:rsidRDefault="001ADA31" w:rsidP="001ADA31">
            <w:pPr>
              <w:keepNext/>
              <w:spacing w:before="40" w:after="40"/>
            </w:pPr>
            <w:r w:rsidR="00C3A3D8">
              <w:rPr>
                <w:sz w:val="19"/>
                <w:szCs w:val="19"/>
              </w:rPr>
              <w:t>7 August 2026</w:t>
            </w:r>
          </w:p>
        </w:tc>
      </w:tr>
      <w:tr w:rsidR="001ADA31" w:rsidTr="001ADA31" w14:paraId="5AB9F39B" w14:textId="77777777">
        <w:trPr>
          <w:cantSplit/>
        </w:trPr>
        <w:tc>
          <w:tcPr>
            <w:tcW w:w="1700" w:type="dxa"/>
          </w:tcPr>
          <w:p w14:paraId="329201B4" w14:textId="77777777" w:rsidR="00A0F3D7" w:rsidRDefault="00A0F3D7" w:rsidP="00A0F3D7">
            <w:pPr>
              <w:keepNext/>
              <w:spacing w:before="40" w:after="40"/>
            </w:pPr>
            <w:r>
              <w:rPr>
                <w:sz w:val="19"/>
                <w:szCs w:val="19"/>
              </w:rPr>
              <w:t>Endorsed</w:t>
            </w:r>
          </w:p>
        </w:tc>
        <w:tc>
          <w:tcPr>
            <w:tcW w:w="5300" w:type="dxa"/>
          </w:tcPr>
          <w:p w14:paraId="6B9E71CE" w14:textId="77777777" w:rsidR="00A0F3D7" w:rsidRDefault="00A0F3D7" w:rsidP="00A0F3D7">
            <w:pPr>
              <w:keepNext/>
              <w:spacing w:before="40" w:after="40"/>
            </w:pPr>
            <w:r w:rsidR="003EDAE4">
              <w:rPr>
                <w:sz w:val="19"/>
                <w:szCs w:val="19"/>
              </w:rPr>
              <w:t>Renee Foster, Chief Risk Officer</w:t>
            </w:r>
          </w:p>
        </w:tc>
        <w:tc>
          <w:tcPr>
            <w:tcW w:w="2000" w:type="dxa"/>
          </w:tcPr>
          <w:p w14:paraId="60F9E488" w14:textId="77777777" w:rsidR="00A0F3D7" w:rsidRDefault="00A0F3D7" w:rsidP="00A0F3D7">
            <w:pPr>
              <w:keepNext/>
              <w:spacing w:before="40" w:after="40"/>
            </w:pPr>
            <w:r w:rsidR="00C3A3D8">
              <w:rPr>
                <w:sz w:val="19"/>
                <w:szCs w:val="19"/>
              </w:rPr>
              <w:t>12 August 2026</w:t>
            </w:r>
          </w:p>
        </w:tc>
      </w:tr>
      <w:tr w:rsidR="00A0F3D7" w:rsidTr="00A0F3D7" w14:paraId="38B08E8C" w14:textId="77777777">
        <w:trPr>
          <w:cantSplit/>
        </w:trPr>
        <w:tc>
          <w:tcPr>
            <w:tcW w:w="1700" w:type="dxa"/>
          </w:tcPr>
          <w:p w14:paraId="7CD21F13" w14:textId="77777777" w:rsidR="001ADA31" w:rsidRDefault="001ADA31" w:rsidP="001ADA31">
            <w:pPr>
              <w:spacing w:before="40" w:after="40"/>
            </w:pPr>
            <w:r>
              <w:rPr>
                <w:sz w:val="19"/>
                <w:szCs w:val="19"/>
              </w:rPr>
              <w:t>Approved</w:t>
            </w:r>
          </w:p>
        </w:tc>
        <w:tc>
          <w:tcPr>
            <w:tcW w:w="5300" w:type="dxa"/>
          </w:tcPr>
          <w:p w14:paraId="39D56ECE" w14:textId="77777777" w:rsidR="001ADA31" w:rsidRDefault="001ADA31" w:rsidP="001ADA31">
            <w:pPr>
              <w:spacing w:before="40" w:after="40"/>
            </w:pPr>
            <w:r w:rsidR="003A4898">
              <w:rPr>
                <w:sz w:val="19"/>
                <w:szCs w:val="19"/>
              </w:rPr>
              <w:t>Audit and Risk Committee (Chair: Stephanie Manning)</w:t>
            </w:r>
          </w:p>
        </w:tc>
        <w:tc>
          <w:tcPr>
            <w:tcW w:w="2000" w:type="dxa"/>
          </w:tcPr>
          <w:p w14:paraId="26209ED5" w14:textId="77777777" w:rsidR="001ADA31" w:rsidRDefault="001ADA31" w:rsidP="001ADA31">
            <w:pPr>
              <w:spacing w:before="40" w:after="40"/>
            </w:pPr>
            <w:r w:rsidR="00C3A3D8">
              <w:rPr>
                <w:sz w:val="19"/>
                <w:szCs w:val="19"/>
              </w:rPr>
              <w:t>25 August 2026</w:t>
            </w:r>
          </w:p>
        </w:tc>
      </w:tr>
    </w:tbl>
    <w:p w14:paraId="7EFF6ECC" w14:textId="77777777" w:rsidR="00A0F3D7" w:rsidRDefault="00A0F3D7" w:rsidP="00A0F3D7">
      <w:pPr>
        <w:spacing w:after="60"/>
      </w:pPr>
    </w:p>
    <w:p w14:paraId="56F7F77B" w14:textId="77777777" w:rsidR="0090D7E2" w:rsidRDefault="0090D7E2" w:rsidP="0090D7E2">
      <w:pPr>
        <w:pStyle w:val="Heading2"/>
      </w:pPr>
      <w:r>
        <w:t>8.3 Version history</w:t>
      </w:r>
    </w:p>
    <w:tbl>
      <w:tblPr>
        <w:tblStyle w:val="TableGrid"/>
        <w:tblW w:w="0" w:type="auto"/>
        <w:tblLook w:val="04A0" w:firstRow="1" w:lastRow="0" w:firstColumn="1" w:lastColumn="0" w:noHBand="0" w:noVBand="1"/>
      </w:tblPr>
      <w:tblGrid>
        <w:gridCol w:w="1100"/>
        <w:gridCol w:w="1300"/>
        <w:gridCol w:w="6600"/>
      </w:tblGrid>
      <w:tr w:rsidR="0090D7E2" w:rsidTr="0090D7E2" w14:paraId="0862D033" w14:textId="77777777">
        <w:trPr>
          <w:cantSplit/>
        </w:trPr>
        <w:tc>
          <w:tcPr>
            <w:tcW w:w="1100" w:type="dxa"/>
            <w:shd w:val="clear" w:color="auto" w:fill="E7ECEF"/>
          </w:tcPr>
          <w:p w14:paraId="50AE9E71" w14:textId="77777777" w:rsidR="0090D7E2" w:rsidRDefault="0090D7E2" w:rsidP="0090D7E2">
            <w:pPr>
              <w:keepNext/>
              <w:spacing w:before="40" w:after="40"/>
            </w:pPr>
            <w:r>
              <w:rPr>
                <w:b/>
                <w:bCs/>
                <w:sz w:val="19"/>
                <w:szCs w:val="19"/>
              </w:rPr>
              <w:t>Version</w:t>
            </w:r>
          </w:p>
        </w:tc>
        <w:tc>
          <w:tcPr>
            <w:tcW w:w="1300" w:type="dxa"/>
            <w:shd w:val="clear" w:color="auto" w:fill="E7ECEF"/>
          </w:tcPr>
          <w:p w14:paraId="17444078" w14:textId="77777777" w:rsidR="0090D7E2" w:rsidRDefault="0090D7E2" w:rsidP="0090D7E2">
            <w:pPr>
              <w:keepNext/>
              <w:spacing w:before="40" w:after="40"/>
            </w:pPr>
            <w:r>
              <w:rPr>
                <w:b/>
                <w:bCs/>
                <w:sz w:val="19"/>
                <w:szCs w:val="19"/>
              </w:rPr>
              <w:t>Date</w:t>
            </w:r>
          </w:p>
        </w:tc>
        <w:tc>
          <w:tcPr>
            <w:tcW w:w="6600" w:type="dxa"/>
            <w:shd w:val="clear" w:color="auto" w:fill="E7ECEF"/>
          </w:tcPr>
          <w:p w14:paraId="1794465A" w14:textId="77777777" w:rsidR="0090D7E2" w:rsidRDefault="0090D7E2" w:rsidP="0090D7E2">
            <w:pPr>
              <w:keepNext/>
              <w:spacing w:before="40" w:after="40"/>
            </w:pPr>
            <w:r>
              <w:rPr>
                <w:b/>
                <w:bCs/>
                <w:sz w:val="19"/>
                <w:szCs w:val="19"/>
              </w:rPr>
              <w:t>Change</w:t>
            </w:r>
          </w:p>
        </w:tc>
      </w:tr>
      <w:tr w:rsidR="0090D7E2" w:rsidTr="0090D7E2" w14:paraId="2EE83755" w14:textId="77777777">
        <w:trPr>
          <w:cantSplit/>
        </w:trPr>
        <w:tc>
          <w:tcPr>
            <w:tcW w:w="1100" w:type="dxa"/>
          </w:tcPr>
          <w:p w14:paraId="1DE86DEA" w14:textId="77777777" w:rsidR="0090D7E2" w:rsidRDefault="0090D7E2" w:rsidP="0090D7E2">
            <w:pPr>
              <w:keepNext/>
              <w:spacing w:before="40" w:after="40"/>
            </w:pPr>
            <w:r>
              <w:rPr>
                <w:sz w:val="19"/>
                <w:szCs w:val="19"/>
              </w:rPr>
              <w:t>1.0</w:t>
            </w:r>
          </w:p>
        </w:tc>
        <w:tc>
          <w:tcPr>
            <w:tcW w:w="1300" w:type="dxa"/>
          </w:tcPr>
          <w:p w14:paraId="51D06DAA" w14:textId="77777777" w:rsidR="0090D7E2" w:rsidRDefault="0090D7E2" w:rsidP="0090D7E2">
            <w:pPr>
              <w:keepNext/>
              <w:spacing w:before="40" w:after="40"/>
            </w:pPr>
            <w:r>
              <w:rPr>
                <w:sz w:val="19"/>
                <w:szCs w:val="19"/>
              </w:rPr>
              <w:t>Nov 2019</w:t>
            </w:r>
          </w:p>
        </w:tc>
        <w:tc>
          <w:tcPr>
            <w:tcW w:w="6600" w:type="dxa"/>
          </w:tcPr>
          <w:p w14:paraId="17C367C1" w14:textId="77777777" w:rsidR="0090D7E2" w:rsidRDefault="0090D7E2" w:rsidP="0090D7E2">
            <w:pPr>
              <w:keepNext/>
              <w:spacing w:before="40" w:after="40"/>
            </w:pPr>
            <w:r>
              <w:rPr>
                <w:sz w:val="19"/>
                <w:szCs w:val="19"/>
              </w:rPr>
              <w:t>First issue, at the launch of the personal loan portfolio</w:t>
            </w:r>
          </w:p>
        </w:tc>
      </w:tr>
      <w:tr w:rsidR="00C11340" w:rsidTr="00C11340" w14:paraId="58B00C1F" w14:textId="77777777">
        <w:trPr>
          <w:cantSplit/>
        </w:trPr>
        <w:tc>
          <w:tcPr>
            <w:tcW w:w="1100" w:type="dxa"/>
          </w:tcPr>
          <w:p w14:paraId="178F04C0" w14:textId="77777777" w:rsidR="00F2BC91" w:rsidRDefault="00F2BC91" w:rsidP="00F2BC91">
            <w:pPr>
              <w:keepNext/>
              <w:spacing w:before="40" w:after="40"/>
            </w:pPr>
            <w:r>
              <w:rPr>
                <w:sz w:val="19"/>
                <w:szCs w:val="19"/>
              </w:rPr>
              <w:t>2.0</w:t>
            </w:r>
          </w:p>
        </w:tc>
        <w:tc>
          <w:tcPr>
            <w:tcW w:w="1300" w:type="dxa"/>
          </w:tcPr>
          <w:p w14:paraId="4C7B7CB6" w14:textId="77777777" w:rsidR="00C11340" w:rsidRDefault="00C11340" w:rsidP="00C11340">
            <w:pPr>
              <w:keepNext/>
              <w:spacing w:before="40" w:after="40"/>
            </w:pPr>
            <w:r>
              <w:rPr>
                <w:sz w:val="19"/>
                <w:szCs w:val="19"/>
              </w:rPr>
              <w:t>Jun 2020</w:t>
            </w:r>
          </w:p>
        </w:tc>
        <w:tc>
          <w:tcPr>
            <w:tcW w:w="6600" w:type="dxa"/>
          </w:tcPr>
          <w:p w14:paraId="44008AEC" w14:textId="77777777" w:rsidR="00C11340" w:rsidRDefault="00C11340" w:rsidP="00C11340">
            <w:pPr>
              <w:keepNext/>
              <w:spacing w:before="40" w:after="40"/>
            </w:pPr>
            <w:r>
              <w:rPr>
                <w:sz w:val="19"/>
                <w:szCs w:val="19"/>
              </w:rPr>
              <w:t>COVID-19 payment deferrals not treated as a significant increase in credit risk on their own; COVID-19 overlay introduced</w:t>
            </w:r>
          </w:p>
        </w:tc>
      </w:tr>
      <w:tr w:rsidR="00FFE7DA" w:rsidTr="00FFE7DA" w14:paraId="4C158265" w14:textId="77777777">
        <w:trPr>
          <w:cantSplit/>
        </w:trPr>
        <w:tc>
          <w:tcPr>
            <w:tcW w:w="1100" w:type="dxa"/>
          </w:tcPr>
          <w:p w14:paraId="76F0267C" w14:textId="77777777" w:rsidR="00A38F29" w:rsidRDefault="00A38F29" w:rsidP="00A38F29">
            <w:pPr>
              <w:keepNext/>
              <w:spacing w:before="40" w:after="40"/>
            </w:pPr>
            <w:r>
              <w:rPr>
                <w:sz w:val="19"/>
                <w:szCs w:val="19"/>
              </w:rPr>
              <w:t>3.0</w:t>
            </w:r>
          </w:p>
        </w:tc>
        <w:tc>
          <w:tcPr>
            <w:tcW w:w="1300" w:type="dxa"/>
          </w:tcPr>
          <w:p w14:paraId="6CCECF20" w14:textId="77777777" w:rsidR="00A38F29" w:rsidRDefault="00A38F29" w:rsidP="00A38F29">
            <w:pPr>
              <w:keepNext/>
              <w:spacing w:before="40" w:after="40"/>
            </w:pPr>
            <w:r>
              <w:rPr>
                <w:sz w:val="19"/>
                <w:szCs w:val="19"/>
              </w:rPr>
              <w:t>Jun 2023</w:t>
            </w:r>
          </w:p>
        </w:tc>
        <w:tc>
          <w:tcPr>
            <w:tcW w:w="6600" w:type="dxa"/>
          </w:tcPr>
          <w:p w14:paraId="3268A637" w14:textId="77777777" w:rsidR="00A38F29" w:rsidRDefault="00A38F29" w:rsidP="00A38F29">
            <w:pPr>
              <w:keepNext/>
              <w:spacing w:before="40" w:after="40"/>
            </w:pPr>
            <w:r>
              <w:rPr>
                <w:sz w:val="19"/>
                <w:szCs w:val="19"/>
              </w:rPr>
              <w:t>Default curves rebuilt on Bellbird's own loan history; COVID-19 overlay released</w:t>
            </w:r>
          </w:p>
        </w:tc>
      </w:tr>
      <w:tr w:rsidR="00B67048" w:rsidTr="00B67048" w14:paraId="6455176F" w14:textId="77777777">
        <w:trPr>
          <w:cantSplit/>
        </w:trPr>
        <w:tc>
          <w:tcPr>
            <w:tcW w:w="1100" w:type="dxa"/>
          </w:tcPr>
          <w:p w14:paraId="43E48AD0" w14:textId="77777777" w:rsidR="00B67048" w:rsidRDefault="00B67048" w:rsidP="00B67048">
            <w:pPr>
              <w:keepNext/>
              <w:spacing w:before="40" w:after="40"/>
            </w:pPr>
            <w:r>
              <w:rPr>
                <w:sz w:val="19"/>
                <w:szCs w:val="19"/>
              </w:rPr>
              <w:t>3.1</w:t>
            </w:r>
          </w:p>
        </w:tc>
        <w:tc>
          <w:tcPr>
            <w:tcW w:w="1300" w:type="dxa"/>
          </w:tcPr>
          <w:p w14:paraId="2A761109" w14:textId="77777777" w:rsidR="00B67048" w:rsidRDefault="00B67048" w:rsidP="00B67048">
            <w:pPr>
              <w:keepNext/>
              <w:spacing w:before="40" w:after="40"/>
            </w:pPr>
            <w:r>
              <w:rPr>
                <w:sz w:val="19"/>
                <w:szCs w:val="19"/>
              </w:rPr>
              <w:t>Aug 2024</w:t>
            </w:r>
          </w:p>
        </w:tc>
        <w:tc>
          <w:tcPr>
            <w:tcW w:w="6600" w:type="dxa"/>
          </w:tcPr>
          <w:p w14:paraId="63E963B6" w14:textId="77777777" w:rsidR="00B67048" w:rsidRDefault="00B67048" w:rsidP="00B67048">
            <w:pPr>
              <w:keepNext/>
              <w:spacing w:before="40" w:after="40"/>
            </w:pPr>
            <w:r>
              <w:rPr>
                <w:sz w:val="19"/>
                <w:szCs w:val="19"/>
              </w:rPr>
              <w:t>Score condition moved to scorecard v4, with v3 origination scores converted</w:t>
            </w:r>
          </w:p>
        </w:tc>
      </w:tr>
      <w:tr w:rsidR="00C6A5D6" w:rsidTr="00C6A5D6" w14:paraId="5448EFD7" w14:textId="77777777">
        <w:trPr>
          <w:cantSplit/>
        </w:trPr>
        <w:tc>
          <w:tcPr>
            <w:tcW w:w="1100" w:type="dxa"/>
          </w:tcPr>
          <w:p w14:paraId="4B6A2C44" w14:textId="77777777" w:rsidR="00C6A5D6" w:rsidRDefault="00C6A5D6" w:rsidP="00C6A5D6">
            <w:pPr>
              <w:keepNext/>
              <w:spacing w:before="40" w:after="40"/>
            </w:pPr>
            <w:r>
              <w:rPr>
                <w:sz w:val="19"/>
                <w:szCs w:val="19"/>
              </w:rPr>
              <w:t>4.0</w:t>
            </w:r>
          </w:p>
        </w:tc>
        <w:tc>
          <w:tcPr>
            <w:tcW w:w="1300" w:type="dxa"/>
          </w:tcPr>
          <w:p w14:paraId="4F271350" w14:textId="77777777" w:rsidR="00C6A5D6" w:rsidRDefault="00C6A5D6" w:rsidP="00C6A5D6">
            <w:pPr>
              <w:keepNext/>
              <w:spacing w:before="40" w:after="40"/>
            </w:pPr>
            <w:r>
              <w:rPr>
                <w:sz w:val="19"/>
                <w:szCs w:val="19"/>
              </w:rPr>
              <w:t>Jun 2025</w:t>
            </w:r>
          </w:p>
        </w:tc>
        <w:tc>
          <w:tcPr>
            <w:tcW w:w="6600" w:type="dxa"/>
          </w:tcPr>
          <w:p w14:paraId="2AB7868E" w14:textId="77777777" w:rsidR="00C6A5D6" w:rsidRDefault="00C6A5D6" w:rsidP="00C6A5D6">
            <w:pPr>
              <w:keepNext/>
              <w:spacing w:before="40" w:after="40"/>
            </w:pPr>
            <w:r>
              <w:rPr>
                <w:sz w:val="19"/>
                <w:szCs w:val="19"/>
              </w:rPr>
              <w:t>Stage 2 scalar of 2.4 on PD(k) introduced (MV-2025-07)</w:t>
            </w:r>
          </w:p>
        </w:tc>
      </w:tr>
      <w:tr w:rsidR="00BB730E" w:rsidTr="00BB730E" w14:paraId="2C17F309" w14:textId="77777777">
        <w:trPr>
          <w:cantSplit/>
        </w:trPr>
        <w:tc>
          <w:tcPr>
            <w:tcW w:w="1100" w:type="dxa"/>
          </w:tcPr>
          <w:p w14:paraId="28B5B7F7" w14:textId="77777777" w:rsidR="00BB730E" w:rsidRDefault="00BB730E" w:rsidP="00BB730E">
            <w:pPr>
              <w:keepNext/>
              <w:spacing w:before="40" w:after="40"/>
            </w:pPr>
            <w:r>
              <w:rPr>
                <w:sz w:val="19"/>
                <w:szCs w:val="19"/>
              </w:rPr>
              <w:t>4.1</w:t>
            </w:r>
          </w:p>
        </w:tc>
        <w:tc>
          <w:tcPr>
            <w:tcW w:w="1300" w:type="dxa"/>
          </w:tcPr>
          <w:p w14:paraId="0E85E0A9" w14:textId="77777777" w:rsidR="00BB730E" w:rsidRDefault="00BB730E" w:rsidP="00BB730E">
            <w:pPr>
              <w:keepNext/>
              <w:spacing w:before="40" w:after="40"/>
            </w:pPr>
            <w:r>
              <w:rPr>
                <w:sz w:val="19"/>
                <w:szCs w:val="19"/>
              </w:rPr>
              <w:t>May 2026</w:t>
            </w:r>
          </w:p>
        </w:tc>
        <w:tc>
          <w:tcPr>
            <w:tcW w:w="6600" w:type="dxa"/>
          </w:tcPr>
          <w:p w14:paraId="10ED0ACE" w14:textId="77777777" w:rsidR="00BB730E" w:rsidRDefault="00BB730E" w:rsidP="00BB730E">
            <w:pPr>
              <w:keepNext/>
              <w:spacing w:before="40" w:after="40"/>
            </w:pPr>
            <w:r>
              <w:rPr>
                <w:sz w:val="19"/>
                <w:szCs w:val="19"/>
              </w:rPr>
              <w:t>Hardship arrangements added to the stage 2 conditions; LGD for PL60 raised from 74 to 76 per cent; the allowance reported to the Board after the Audit and Risk Committee's review</w:t>
            </w:r>
          </w:p>
        </w:tc>
      </w:tr>
      <w:tr w:rsidR="00A1696F" w:rsidTr="00A1696F" w14:paraId="310F7581" w14:textId="77777777">
        <w:trPr>
          <w:cantSplit/>
        </w:trPr>
        <w:tc>
          <w:tcPr>
            <w:tcW w:w="1100" w:type="dxa"/>
          </w:tcPr>
          <w:p w14:paraId="3EA0B1A6" w14:textId="77777777" w:rsidR="00C3A3D8" w:rsidRDefault="00C3A3D8" w:rsidP="00C3A3D8">
            <w:pPr>
              <w:spacing w:before="40" w:after="40"/>
            </w:pPr>
            <w:r>
              <w:rPr>
                <w:sz w:val="19"/>
                <w:szCs w:val="19"/>
              </w:rPr>
              <w:t>4.2</w:t>
            </w:r>
          </w:p>
        </w:tc>
        <w:tc>
          <w:tcPr>
            <w:tcW w:w="1300" w:type="dxa"/>
          </w:tcPr>
          <w:p w14:paraId="6ABE46E1" w14:textId="77777777" w:rsidR="00A1696F" w:rsidRDefault="00A1696F" w:rsidP="00A1696F">
            <w:pPr>
              <w:spacing w:before="40" w:after="40"/>
            </w:pPr>
            <w:r>
              <w:rPr>
                <w:sz w:val="19"/>
                <w:szCs w:val="19"/>
              </w:rPr>
              <w:t>Aug 2026</w:t>
            </w:r>
          </w:p>
        </w:tc>
        <w:tc>
          <w:tcPr>
            <w:tcW w:w="6600" w:type="dxa"/>
          </w:tcPr>
          <w:p w14:paraId="6FA5D5C9" w14:textId="77777777" w:rsidR="00A1696F" w:rsidRDefault="00A1696F" w:rsidP="00A1696F">
            <w:pPr>
              <w:spacing w:before="40" w:after="40"/>
            </w:pPr>
            <w:r>
              <w:rPr>
                <w:sz w:val="19"/>
                <w:szCs w:val="19"/>
              </w:rPr>
              <w:t>Annual review: PD from the PLPD-2026.06 curves (3.2); the measure for the annual LGD review set out in 3.3</w:t>
            </w:r>
          </w:p>
        </w:tc>
      </w:tr>
    </w:tbl>
    <w:p w14:paraId="5A4191F4" w14:textId="77777777" w:rsidR="0090D7E2" w:rsidRDefault="0090D7E2" w:rsidP="0090D7E2">
      <w:pPr>
        <w:spacing w:after="60"/>
      </w:pPr>
    </w:p>
    <w:sectPr w:rsidR="0090D7E2" w:rsidSect="00A0F3D7">
      <w:headerReference w:type="default" r:id="rId4"/>
      <w:footerReference w:type="default" r:id="rId5"/>
      <w:pgSz w:w="11906" w:h="16838" w:code="9"/>
      <w:pgMar w:top="1247" w:right="1247" w:bottom="1247" w:left="124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02DE7" w14:textId="77777777" w:rsidR="0090D7E2" w:rsidRDefault="0090D7E2" w:rsidP="0090D7E2">
    <w:pPr>
      <w:pStyle w:val="Footer"/>
    </w:pPr>
    <w:r w:rsidR="00A1696F">
      <w:t xml:space="preserve">Version 4.2  |  Internal  |  Uncontrolled when printed</w:t>
    </w:r>
    <w:r>
      <w:tab/>
    </w:r>
    <w:r>
      <w:tab/>
    </w:r>
    <w:r>
      <w:t xml:space="preserve">Page </w:t>
    </w:r>
    <w:r>
      <w:fldChar w:fldCharType="begin"/>
    </w:r>
    <w:r>
      <w:instrText xml:space="preserve"> PAGE   \* MERGEFORMAT </w:instrText>
    </w:r>
    <w:r>
      <w:fldChar w:fldCharType="separate"/>
    </w:r>
    <w:r>
      <w:rPr>
        <w:noProof/>
      </w:rPr>
      <w:t>1</w:t>
    </w:r>
    <w:r>
      <w:fldChar w:fldCharType="end"/>
    </w:r>
    <w:r>
      <w:t xml:space="preserve"> of </w:t>
    </w:r>
    <w:r>
      <w:fldChar w:fldCharType="begin"/>
    </w:r>
    <w:r>
      <w:instrText xml:space="preserve"> NUMPAGES   \* MERGEFORMAT </w:instrText>
    </w:r>
    <w:r>
      <w:fldChar w:fldCharType="separate"/>
    </w:r>
    <w:r>
      <w:rPr>
        <w:noProof/>
      </w:rPr>
      <w:t>3</w:t>
    </w:r>
    <w:r>
      <w:fldChar w:fldCharType="end"/>
    </w:r>
  </w:p>
</w:ftr>
</file>

<file path=word/header1.xml><?xml version="1.0" encoding="utf-8"?>
<w:hd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BEA1A" w14:textId="77777777" w:rsidR="0090D7E2" w:rsidRDefault="0090D7E2" w:rsidP="0090D7E2">
    <w:pPr>
      <w:pStyle w:val="Header"/>
    </w:pPr>
    <w:r>
      <w:t>Bellbird Personal Finance Ltd</w:t>
    </w:r>
    <w:r>
      <w:tab/>
    </w:r>
    <w:r>
      <w:tab/>
    </w:r>
    <w:r>
      <w:t>CRM-ECL-04 Expected credit loss: unsecured personal loans</w:t>
    </w:r>
  </w:p>
</w:hdr>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urn:schemas-microsoft-com:office:office" xmlns:m="http://schemas.openxmlformats.org/officeDocument/2006/math" xmlns:v="urn:schemas-microsoft-com:vml" xmlns:w10="urn:schemas-microsoft-com:office:word"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F3D7"/>
    <w:rsid w:val="00114804"/>
    <w:rsid w:val="001ADA31"/>
    <w:rsid w:val="003A4898"/>
    <w:rsid w:val="003EDAE4"/>
    <w:rsid w:val="0090D7E2"/>
    <w:rsid w:val="00A0F3D7"/>
    <w:rsid w:val="00A1696F"/>
    <w:rsid w:val="00A38F29"/>
    <w:rsid w:val="00B67048"/>
    <w:rsid w:val="00BB730E"/>
    <w:rsid w:val="00C11340"/>
    <w:rsid w:val="00C3A3D8"/>
    <w:rsid w:val="00C6A5D6"/>
    <w:rsid w:val="00F2BC91"/>
    <w:rsid w:val="00FFE7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3F82B7"/>
  <w15:chartTrackingRefBased/>
  <w15:docId w15:val="{E366D4AE-460B-4E18-8579-3B24A94E2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cs="Calibri"/>
      <w:sz w:val="21"/>
      <w:szCs w:val="21"/>
    </w:rPr>
  </w:style>
  <w:style w:type="paragraph" w:styleId="Heading1">
    <w:name w:val="heading 1"/>
    <w:basedOn w:val="Normal"/>
    <w:next w:val="Normal"/>
    <w:link w:val="Heading1Char"/>
    <w:uiPriority w:val="9"/>
    <w:qFormat/>
    <w:pPr>
      <w:keepNext/>
      <w:keepLines/>
      <w:spacing w:before="240" w:after="80"/>
      <w:outlineLvl w:val="0"/>
    </w:pPr>
    <w:rPr>
      <w:b/>
      <w:bCs/>
      <w:color w:val="1F3A4D"/>
      <w:sz w:val="24"/>
      <w:szCs w:val="24"/>
    </w:rPr>
  </w:style>
  <w:style w:type="paragraph" w:styleId="Heading2">
    <w:name w:val="heading 2"/>
    <w:basedOn w:val="Normal"/>
    <w:next w:val="Normal"/>
    <w:link w:val="Heading2Char"/>
    <w:uiPriority w:val="9"/>
    <w:unhideWhenUsed/>
    <w:qFormat/>
    <w:pPr>
      <w:keepNext/>
      <w:keepLines/>
      <w:spacing w:before="160" w:after="60"/>
      <w:outlineLvl w:val="1"/>
    </w:pPr>
    <w:rPr>
      <w:b/>
      <w:bCs/>
      <w:color w:val="1F3A4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b/>
      <w:bCs/>
      <w:color w:val="1F3A4D"/>
      <w:kern w:val="28"/>
      <w:sz w:val="30"/>
      <w:szCs w:val="30"/>
    </w:rPr>
  </w:style>
  <w:style w:type="character" w:customStyle="1" w:styleId="TitleChar">
    <w:name w:val="Title Char"/>
    <w:basedOn w:val="DefaultParagraphFont"/>
    <w:link w:val="Title"/>
    <w:uiPriority w:val="10"/>
    <w:rPr>
      <w:rFonts w:ascii="Calibri" w:hAnsi="Calibri"/>
      <w:b/>
      <w:bCs/>
      <w:color w:val="1F3A4D"/>
      <w:kern w:val="28"/>
      <w:sz w:val="30"/>
      <w:szCs w:val="30"/>
    </w:rPr>
  </w:style>
  <w:style w:type="character" w:customStyle="1" w:styleId="Heading1Char">
    <w:name w:val="Heading 1 Char"/>
    <w:basedOn w:val="DefaultParagraphFont"/>
    <w:link w:val="Heading1"/>
    <w:uiPriority w:val="9"/>
    <w:rPr>
      <w:rFonts w:ascii="Calibri" w:hAnsi="Calibri"/>
      <w:b/>
      <w:bCs/>
      <w:color w:val="1F3A4D"/>
      <w:sz w:val="24"/>
      <w:szCs w:val="24"/>
    </w:rPr>
  </w:style>
  <w:style w:type="character" w:customStyle="1" w:styleId="Heading2Char">
    <w:name w:val="Heading 2 Char"/>
    <w:basedOn w:val="DefaultParagraphFont"/>
    <w:link w:val="Heading2"/>
    <w:uiPriority w:val="9"/>
    <w:rPr>
      <w:rFonts w:ascii="Calibri" w:hAnsi="Calibri"/>
      <w:b/>
      <w:bCs/>
      <w:color w:val="1F3A4D"/>
      <w:sz w:val="22"/>
      <w:szCs w:val="22"/>
    </w:rPr>
  </w:style>
  <w:style w:type="paragraph" w:styleId="Header">
    <w:name w:val="header"/>
    <w:basedOn w:val="Normal"/>
    <w:link w:val="HeaderChar"/>
    <w:uiPriority w:val="99"/>
    <w:unhideWhenUsed/>
    <w:pPr>
      <w:tabs>
        <w:tab w:val="center" w:pos="4513"/>
        <w:tab w:val="right" w:pos="9026"/>
      </w:tabs>
      <w:spacing w:after="0" w:line="240" w:lineRule="auto"/>
    </w:pPr>
    <w:rPr>
      <w:color w:val="595959"/>
      <w:sz w:val="16"/>
      <w:szCs w:val="16"/>
    </w:rPr>
  </w:style>
  <w:style w:type="character" w:customStyle="1" w:styleId="HeaderChar">
    <w:name w:val="Header Char"/>
    <w:basedOn w:val="DefaultParagraphFont"/>
    <w:link w:val="Header"/>
    <w:uiPriority w:val="99"/>
    <w:rPr>
      <w:rFonts w:ascii="Calibri" w:hAnsi="Calibri"/>
      <w:color w:val="595959"/>
      <w:sz w:val="16"/>
      <w:szCs w:val="16"/>
    </w:rPr>
  </w:style>
  <w:style w:type="paragraph" w:styleId="Footer">
    <w:name w:val="footer"/>
    <w:basedOn w:val="Normal"/>
    <w:link w:val="FooterChar"/>
    <w:uiPriority w:val="99"/>
    <w:unhideWhenUsed/>
    <w:pPr>
      <w:tabs>
        <w:tab w:val="center" w:pos="4513"/>
        <w:tab w:val="right" w:pos="9026"/>
      </w:tabs>
      <w:spacing w:after="0" w:line="240" w:lineRule="auto"/>
    </w:pPr>
    <w:rPr>
      <w:color w:val="595959"/>
      <w:sz w:val="16"/>
      <w:szCs w:val="16"/>
    </w:rPr>
  </w:style>
  <w:style w:type="character" w:customStyle="1" w:styleId="FooterChar">
    <w:name w:val="Footer Char"/>
    <w:basedOn w:val="DefaultParagraphFont"/>
    <w:link w:val="Footer"/>
    <w:uiPriority w:val="99"/>
    <w:rPr>
      <w:rFonts w:ascii="Calibri" w:hAnsi="Calibri"/>
      <w:color w:val="595959"/>
      <w:sz w:val="16"/>
      <w:szCs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1236</TotalTime>
  <Pages>3</Pages>
  <Words>1316</Words>
  <Characters>6363</Characters>
  <Application>Microsoft Office Word</Application>
  <DocSecurity>0</DocSecurity>
  <Lines>142</Lines>
  <Paragraphs>98</Paragraphs>
  <ScaleCrop>false</ScaleCrop>
  <HeadingPairs>
    <vt:vector size="2" baseType="variant">
      <vt:variant>
        <vt:lpstr>Title</vt:lpstr>
      </vt:variant>
      <vt:variant>
        <vt:i4>1</vt:i4>
      </vt:variant>
    </vt:vector>
  </HeadingPairs>
  <TitlesOfParts>
    <vt:vector size="1" baseType="lpstr">
      <vt:lpstr>CRM-ECL-04 Expected credit loss: unsecured personal loans</vt:lpstr>
    </vt:vector>
  </TitlesOfParts>
  <Company>Bellbird Personal Finance Ltd</Company>
  <LinksUpToDate>false</LinksUpToDate>
  <CharactersWithSpaces>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CRM-ECL-04 Expected credit loss: unsecured personal loans</dc:title>
  <dc:subject/>
  <dc:creator>Matthew Gardner</dc:creator>
  <cp:keywords/>
  <dc:description/>
  <cp:lastModifiedBy>Matthew Gardner</cp:lastModifiedBy>
  <cp:revision>45</cp:revision>
  <dcterms:created xsi:type="dcterms:W3CDTF">2019-11-03T23:21:00Z</dcterms:created>
  <dcterms:modified xsi:type="dcterms:W3CDTF">2026-08-25T23:14:00Z</dcterms:modified>
</cp:coreProperties>
</file>