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Household Resources Survey 2027: nine estimates carry the low-reliability warning</w:t>
      </w:r>
    </w:p>
    <w:p>
      <w:r>
        <w:rPr>
          <w:i/>
        </w:rPr>
        <w:t>Quality note published by the Statistics and Surveys Branch with the 2027 tables. Prepared by Larchmere Social Research, 3 December 2027.</w:t>
      </w:r>
    </w:p>
    <w:p>
      <w:r>
        <w:t>The 2027 tables give 48 estimates, four for each of the twelve health regions. Nine of them carry the low-reliability warning, marked E in the tables: their coefficient of variation is 20.0 per cent or more, so they should be used with caution. All nine are in the four northern regions, where the survey interviewed the fewest adults.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Health region</w:t>
            </w:r>
          </w:p>
        </w:tc>
        <w:tc>
          <w:tcPr>
            <w:tcW w:type="dxa" w:w="2880"/>
          </w:tcPr>
          <w:p>
            <w:r>
              <w:t>Estimate</w:t>
            </w:r>
          </w:p>
        </w:tc>
        <w:tc>
          <w:tcPr>
            <w:tcW w:type="dxa" w:w="2880"/>
          </w:tcPr>
          <w:p>
            <w:r>
              <w:t>Coefficient of variation (%)</w:t>
            </w:r>
          </w:p>
        </w:tc>
      </w:tr>
      <w:tr>
        <w:tc>
          <w:tcPr>
            <w:tcW w:type="dxa" w:w="2880"/>
          </w:tcPr>
          <w:p>
            <w:r>
              <w:t>Far North (R01)</w:t>
            </w:r>
          </w:p>
        </w:tc>
        <w:tc>
          <w:tcPr>
            <w:tcW w:type="dxa" w:w="2880"/>
          </w:tcPr>
          <w:p>
            <w:r>
              <w:t>Adults providing unpaid care</w:t>
            </w:r>
          </w:p>
        </w:tc>
        <w:tc>
          <w:tcPr>
            <w:tcW w:type="dxa" w:w="2880"/>
          </w:tcPr>
          <w:p>
            <w:r>
              <w:t>27.6</w:t>
            </w:r>
          </w:p>
        </w:tc>
      </w:tr>
      <w:tr>
        <w:tc>
          <w:tcPr>
            <w:tcW w:type="dxa" w:w="2880"/>
          </w:tcPr>
          <w:p>
            <w:r>
              <w:t>Far North (R01)</w:t>
            </w:r>
          </w:p>
        </w:tc>
        <w:tc>
          <w:tcPr>
            <w:tcW w:type="dxa" w:w="2880"/>
          </w:tcPr>
          <w:p>
            <w:r>
              <w:t>Adults in households behind on a household bill</w:t>
            </w:r>
          </w:p>
        </w:tc>
        <w:tc>
          <w:tcPr>
            <w:tcW w:type="dxa" w:w="2880"/>
          </w:tcPr>
          <w:p>
            <w:r>
              <w:t>30.1</w:t>
            </w:r>
          </w:p>
        </w:tc>
      </w:tr>
      <w:tr>
        <w:tc>
          <w:tcPr>
            <w:tcW w:type="dxa" w:w="2880"/>
          </w:tcPr>
          <w:p>
            <w:r>
              <w:t>North West (R02)</w:t>
            </w:r>
          </w:p>
        </w:tc>
        <w:tc>
          <w:tcPr>
            <w:tcW w:type="dxa" w:w="2880"/>
          </w:tcPr>
          <w:p>
            <w:r>
              <w:t>Adults in privately rented homes</w:t>
            </w:r>
          </w:p>
        </w:tc>
        <w:tc>
          <w:tcPr>
            <w:tcW w:type="dxa" w:w="2880"/>
          </w:tcPr>
          <w:p>
            <w:r>
              <w:t>32.7</w:t>
            </w:r>
          </w:p>
        </w:tc>
      </w:tr>
      <w:tr>
        <w:tc>
          <w:tcPr>
            <w:tcW w:type="dxa" w:w="2880"/>
          </w:tcPr>
          <w:p>
            <w:r>
              <w:t>North West (R02)</w:t>
            </w:r>
          </w:p>
        </w:tc>
        <w:tc>
          <w:tcPr>
            <w:tcW w:type="dxa" w:w="2880"/>
          </w:tcPr>
          <w:p>
            <w:r>
              <w:t>Adults providing unpaid care</w:t>
            </w:r>
          </w:p>
        </w:tc>
        <w:tc>
          <w:tcPr>
            <w:tcW w:type="dxa" w:w="2880"/>
          </w:tcPr>
          <w:p>
            <w:r>
              <w:t>48.7</w:t>
            </w:r>
          </w:p>
        </w:tc>
      </w:tr>
      <w:tr>
        <w:tc>
          <w:tcPr>
            <w:tcW w:type="dxa" w:w="2880"/>
          </w:tcPr>
          <w:p>
            <w:r>
              <w:t>North West (R02)</w:t>
            </w:r>
          </w:p>
        </w:tc>
        <w:tc>
          <w:tcPr>
            <w:tcW w:type="dxa" w:w="2880"/>
          </w:tcPr>
          <w:p>
            <w:r>
              <w:t>Adults in households behind on a household bill</w:t>
            </w:r>
          </w:p>
        </w:tc>
        <w:tc>
          <w:tcPr>
            <w:tcW w:type="dxa" w:w="2880"/>
          </w:tcPr>
          <w:p>
            <w:r>
              <w:t>39.4</w:t>
            </w:r>
          </w:p>
        </w:tc>
      </w:tr>
      <w:tr>
        <w:tc>
          <w:tcPr>
            <w:tcW w:type="dxa" w:w="2880"/>
          </w:tcPr>
          <w:p>
            <w:r>
              <w:t>North East (R03)</w:t>
            </w:r>
          </w:p>
        </w:tc>
        <w:tc>
          <w:tcPr>
            <w:tcW w:type="dxa" w:w="2880"/>
          </w:tcPr>
          <w:p>
            <w:r>
              <w:t>Adults providing unpaid care</w:t>
            </w:r>
          </w:p>
        </w:tc>
        <w:tc>
          <w:tcPr>
            <w:tcW w:type="dxa" w:w="2880"/>
          </w:tcPr>
          <w:p>
            <w:r>
              <w:t>38.6</w:t>
            </w:r>
          </w:p>
        </w:tc>
      </w:tr>
      <w:tr>
        <w:tc>
          <w:tcPr>
            <w:tcW w:type="dxa" w:w="2880"/>
          </w:tcPr>
          <w:p>
            <w:r>
              <w:t>North East (R03)</w:t>
            </w:r>
          </w:p>
        </w:tc>
        <w:tc>
          <w:tcPr>
            <w:tcW w:type="dxa" w:w="2880"/>
          </w:tcPr>
          <w:p>
            <w:r>
              <w:t>Adults in households behind on a household bill</w:t>
            </w:r>
          </w:p>
        </w:tc>
        <w:tc>
          <w:tcPr>
            <w:tcW w:type="dxa" w:w="2880"/>
          </w:tcPr>
          <w:p>
            <w:r>
              <w:t>30.0</w:t>
            </w:r>
          </w:p>
        </w:tc>
      </w:tr>
      <w:tr>
        <w:tc>
          <w:tcPr>
            <w:tcW w:type="dxa" w:w="2880"/>
          </w:tcPr>
          <w:p>
            <w:r>
              <w:t>Lakes (R04)</w:t>
            </w:r>
          </w:p>
        </w:tc>
        <w:tc>
          <w:tcPr>
            <w:tcW w:type="dxa" w:w="2880"/>
          </w:tcPr>
          <w:p>
            <w:r>
              <w:t>Adults providing unpaid care</w:t>
            </w:r>
          </w:p>
        </w:tc>
        <w:tc>
          <w:tcPr>
            <w:tcW w:type="dxa" w:w="2880"/>
          </w:tcPr>
          <w:p>
            <w:r>
              <w:t>34.3</w:t>
            </w:r>
          </w:p>
        </w:tc>
      </w:tr>
      <w:tr>
        <w:tc>
          <w:tcPr>
            <w:tcW w:type="dxa" w:w="2880"/>
          </w:tcPr>
          <w:p>
            <w:r>
              <w:t>Lakes (R04)</w:t>
            </w:r>
          </w:p>
        </w:tc>
        <w:tc>
          <w:tcPr>
            <w:tcW w:type="dxa" w:w="2880"/>
          </w:tcPr>
          <w:p>
            <w:r>
              <w:t>Adults in households behind on a household bill</w:t>
            </w:r>
          </w:p>
        </w:tc>
        <w:tc>
          <w:tcPr>
            <w:tcW w:type="dxa" w:w="2880"/>
          </w:tcPr>
          <w:p>
            <w:r>
              <w:t>28.1</w:t>
            </w:r>
          </w:p>
        </w:tc>
      </w:tr>
    </w:tbl>
    <w:p>
      <w:r>
        <w:rPr>
          <w:i/>
          <w:sz w:val="17"/>
        </w:rPr>
        <w:t>Source: Household Resources Survey 2027. Coefficients of variation are computed before the estimates are rounded for publication.</w:t>
      </w:r>
    </w:p>
    <w:p>
      <w:r>
        <w:t>Every other estimate stands without the warning, the public pension estimates of all twelve regions among them: in the four northern regions their coefficients of variation run from 5.0 to 8.4 per cent, and the highest coefficient of any unwarned estimate is 18.4 per cent (adults in privately rented homes in Far North).</w:t>
      </w:r>
    </w:p>
    <w:p>
      <w:r>
        <w:t>How the warning is set. The estimates are made with weights scaled to the Branch's population estimates by health region, age group and sex. Each estimate's standard error is that of the estimate as published, by Taylor linearisation over the survey's strata and primary sampling units (QS-7 section 3). For an estimate made with weights scaled this way, the standard error rests on each adult's departure from the rate of their region, age group and sex, so an estimate that age and sex largely decide, such as the number of adults receiving a public pension, is far more precise than the spread of the weights alone would suggest.</w:t>
      </w:r>
    </w:p>
    <w:p>
      <w:r>
        <w:t>Response. Response rates in the twelve regions ran from 48.7 to 59.6 per cent, 52.5 per cent overall (QS-7 section 4.2).</w:t>
      </w:r>
    </w:p>
    <w:p>
      <w:pPr>
        <w:spacing w:before="160"/>
      </w:pPr>
      <w:r>
        <w:t>Kristina Stephens, Lead Survey Statistician, Larchmere Social Research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6"/>
      </w:rPr>
      <w:t>Statistics and Surveys Branch | Household Resources Survey 2027 | Quality note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390</Words>
  <Characters>2022</Characters>
  <Application>Microsoft Office Word</Application>
  <DocSecurity>0</DocSecurity>
  <Lines>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Larchmere Social Research</Company>
  <LinksUpToDate>false</LinksUpToDate>
  <CharactersWithSpaces>2411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Household Resources Survey 2027: quality note</dc:title>
  <dc:creator>Kristina Stephens</dc:creator>
  <cp:lastModifiedBy>Kristina Stephens</cp:lastModifiedBy>
  <cp:revision>1</cp:revision>
  <dcterms:created xsi:type="dcterms:W3CDTF">2027-12-03T14:30:00Z</dcterms:created>
  <dcterms:modified xsi:type="dcterms:W3CDTF">2027-12-03T20:05:00Z</dcterms:modified>
</cp:coreProperties>
</file>