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val="0"/>
          <w:i w:val="0"/>
          <w:color w:val="56606A"/>
          <w:sz w:val="17"/>
        </w:rPr>
        <w:t>Merrowland Statistics  |  Labour Market Statistics</w:t>
      </w:r>
    </w:p>
    <w:tbl>
      <w:tblPr>
        <w:tblW w:type="auto" w:w="0"/>
        <w:tblLayout w:type="fixed"/>
        <w:tblLook w:firstColumn="1" w:firstRow="1" w:lastColumn="0" w:lastRow="0" w:noHBand="0" w:noVBand="1" w:val="04A0"/>
      </w:tblPr>
      <w:tblGrid>
        <w:gridCol w:w="1474"/>
        <w:gridCol w:w="7824"/>
      </w:tblGrid>
      <w:tr>
        <w:tc>
          <w:tcPr>
            <w:tcW w:type="dxa" w:w="1474"/>
          </w:tcPr>
          <w:p>
            <w:pPr>
              <w:spacing w:after="20"/>
            </w:pPr>
            <w:r>
              <w:rPr>
                <w:b/>
                <w:sz w:val="18"/>
              </w:rPr>
              <w:t>To</w:t>
            </w:r>
          </w:p>
        </w:tc>
        <w:tc>
          <w:tcPr>
            <w:tcW w:type="dxa" w:w="7824"/>
          </w:tcPr>
          <w:p>
            <w:pPr>
              <w:spacing w:after="20"/>
            </w:pPr>
            <w:r>
              <w:rPr>
                <w:sz w:val="18"/>
              </w:rPr>
              <w:t>Shane Turner, Government Statistician</w:t>
            </w:r>
          </w:p>
        </w:tc>
      </w:tr>
      <w:tr>
        <w:tc>
          <w:tcPr>
            <w:tcW w:type="dxa" w:w="1474"/>
          </w:tcPr>
          <w:p>
            <w:pPr>
              <w:spacing w:after="20"/>
            </w:pPr>
            <w:r>
              <w:rPr>
                <w:b/>
                <w:sz w:val="18"/>
              </w:rPr>
              <w:t>From</w:t>
            </w:r>
          </w:p>
        </w:tc>
        <w:tc>
          <w:tcPr>
            <w:tcW w:type="dxa" w:w="7824"/>
          </w:tcPr>
          <w:p>
            <w:pPr>
              <w:spacing w:after="20"/>
            </w:pPr>
            <w:r>
              <w:rPr>
                <w:sz w:val="18"/>
              </w:rPr>
              <w:t>Raewyn Bailey, Head of Labour Market Statistics</w:t>
            </w:r>
          </w:p>
        </w:tc>
      </w:tr>
      <w:tr>
        <w:tc>
          <w:tcPr>
            <w:tcW w:type="dxa" w:w="1474"/>
          </w:tcPr>
          <w:p>
            <w:pPr>
              <w:spacing w:after="20"/>
            </w:pPr>
            <w:r>
              <w:rPr>
                <w:b/>
                <w:sz w:val="18"/>
              </w:rPr>
              <w:t>Date</w:t>
            </w:r>
          </w:p>
        </w:tc>
        <w:tc>
          <w:tcPr>
            <w:tcW w:type="dxa" w:w="7824"/>
          </w:tcPr>
          <w:p>
            <w:pPr>
              <w:spacing w:after="20"/>
            </w:pPr>
            <w:r>
              <w:rPr>
                <w:sz w:val="18"/>
              </w:rPr>
              <w:t>23 October 2026</w:t>
            </w:r>
          </w:p>
        </w:tc>
      </w:tr>
      <w:tr>
        <w:tc>
          <w:tcPr>
            <w:tcW w:type="dxa" w:w="1474"/>
          </w:tcPr>
          <w:p>
            <w:pPr>
              <w:spacing w:after="20"/>
            </w:pPr>
            <w:r>
              <w:rPr>
                <w:b/>
                <w:sz w:val="18"/>
              </w:rPr>
              <w:t>Reference</w:t>
            </w:r>
          </w:p>
        </w:tc>
        <w:tc>
          <w:tcPr>
            <w:tcW w:type="dxa" w:w="7824"/>
          </w:tcPr>
          <w:p>
            <w:pPr>
              <w:spacing w:after="20"/>
            </w:pPr>
            <w:r>
              <w:rPr>
                <w:sz w:val="18"/>
              </w:rPr>
              <w:t>MS-LMS-2026-031</w:t>
            </w:r>
          </w:p>
        </w:tc>
      </w:tr>
      <w:tr>
        <w:tc>
          <w:tcPr>
            <w:tcW w:type="dxa" w:w="1474"/>
          </w:tcPr>
          <w:p>
            <w:pPr>
              <w:spacing w:after="20"/>
            </w:pPr>
            <w:r>
              <w:rPr>
                <w:b/>
                <w:sz w:val="18"/>
              </w:rPr>
              <w:t>Subject</w:t>
            </w:r>
          </w:p>
        </w:tc>
        <w:tc>
          <w:tcPr>
            <w:tcW w:type="dxa" w:w="7824"/>
          </w:tcPr>
          <w:p>
            <w:pPr>
              <w:spacing w:after="20"/>
            </w:pPr>
            <w:r>
              <w:rPr>
                <w:sz w:val="18"/>
              </w:rPr>
              <w:t>HLS July to September 2026: what the three-visit cap does to the published rates</w:t>
            </w:r>
          </w:p>
        </w:tc>
      </w:tr>
    </w:tbl>
    <w:p>
      <w:pPr>
        <w:spacing w:after="40"/>
      </w:pPr>
    </w:p>
    <w:p>
      <w:pPr>
        <w:spacing w:after="160"/>
      </w:pPr>
      <w:r>
        <w:rPr>
          <w:b/>
          <w:i w:val="0"/>
          <w:sz w:val="25"/>
        </w:rPr>
        <w:t>Most of the July to September rise in unemployment is the first-interview visit cap, whose effect on the published rates goes on building into 2027 before it fades</w:t>
      </w:r>
    </w:p>
    <w:p>
      <w:r>
        <w:rPr>
          <w:b w:val="0"/>
          <w:i w:val="0"/>
        </w:rPr>
        <w:t>The published unemployment rate rose 0.27 point to 5.86 per cent between April to June and July to September. The three-visit cap on first interviews accounts for 0.18 point of that rise and the labour market for 0.09 point. The cap was already in the April to June rate: on six visits throughout, the rate would have been 5.38 per cent in April to June and 5.47 per cent in July to September. The employment rate fell 0.34 point to 58.54 per cent; the cap took 0.63 point off the change, so on six visits throughout employment rose 0.29 point, from 59.67 to 59.96 per cent.</w:t>
      </w:r>
    </w:p>
    <w:p>
      <w:r>
        <w:rPr>
          <w:b w:val="0"/>
          <w:i w:val="0"/>
        </w:rPr>
        <w:t>The cap removes the households we find only at a fourth, fifth or sixth visit: adults out by day, most of them in work. We recruit a household once and keep it for five quarters, so an intake issued under the cap is short of those households in every quarter it stays in the sample, not only in the quarter it is first interviewed. First interviews have been capped since the April to June intake, so two of July to September's five intakes were recruited under the cap, three of October to December's and four of January to March 2027's. That is what makes the gap grow: it is 0.39 point on the unemployment rate in July to September 2026, 0.53 in October to December and 0.62 in January to March 2027, and 1.42, 1.97 and 2.44 point on the employment rate in the same quarters (0.79 in April to June 2026).</w:t>
      </w:r>
    </w:p>
    <w:p>
      <w:pPr>
        <w:keepNext/>
      </w:pPr>
      <w:r>
        <w:rPr>
          <w:b w:val="0"/>
          <w:i w:val="0"/>
        </w:rPr>
        <w:t>With first interviews back on six visits from 1 April 2027 the gap falls as the capped intakes leave the panel, but it does not go while they are in it: the unemployment rate sits 0.47 point above the six-visit rate in April to June 2027 and 0.28 in July to September 2027, and the employment rate 1.88 and 1.19 point below it. The published rates are back on a six-visit basis from April to June 2028, once the January to March 2027 intake has left the sample. The lower unemployment of the households the cap misses fades over their four telephone waves as their circumstances change and as some of them would have left the panel, which is why the gap does not simply add up across the capped intakes.</w:t>
      </w:r>
    </w:p>
    <w:p>
      <w:pPr>
        <w:keepNext/>
        <w:spacing w:after="40"/>
        <w:jc w:val="center"/>
      </w:pPr>
      <w:r>
        <w:drawing>
          <wp:inline xmlns:a="http://schemas.openxmlformats.org/drawingml/2006/main" xmlns:pic="http://schemas.openxmlformats.org/drawingml/2006/picture">
            <wp:extent cx="5868000" cy="26541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868000" cy="2654127"/>
                    </a:xfrm>
                    <a:prstGeom prst="rect"/>
                  </pic:spPr>
                </pic:pic>
              </a:graphicData>
            </a:graphic>
          </wp:inline>
        </w:drawing>
      </w:r>
    </w:p>
    <w:p>
      <w:pPr>
        <w:spacing w:after="200"/>
      </w:pPr>
      <w:r>
        <w:rPr>
          <w:b w:val="0"/>
          <w:i w:val="0"/>
          <w:color w:val="56606A"/>
          <w:sz w:val="16"/>
        </w:rPr>
        <w:t>Published unemployment rate, people aged 15 and over, not seasonally adjusted. Gap: published rate less the rate with six first-interview visits throughout.</w:t>
      </w:r>
    </w:p>
    <w:p>
      <w:pPr>
        <w:keepNext/>
        <w:spacing w:after="60"/>
      </w:pPr>
      <w:r>
        <w:rPr>
          <w:b/>
          <w:i w:val="0"/>
          <w:sz w:val="19"/>
        </w:rPr>
        <w:t>Gap in the published rates, percentage points (published less six visits)</w:t>
      </w:r>
    </w:p>
    <w:tbl>
      <w:tblPr>
        <w:tblStyle w:val="TableGrid"/>
        <w:tblW w:type="auto" w:w="0"/>
        <w:tblLayout w:type="fixed"/>
        <w:tblLook w:firstColumn="1" w:firstRow="1" w:lastColumn="0" w:lastRow="0" w:noHBand="0" w:noVBand="1" w:val="04A0"/>
      </w:tblPr>
      <w:tblGrid>
        <w:gridCol w:w="1587"/>
        <w:gridCol w:w="3969"/>
        <w:gridCol w:w="1871"/>
        <w:gridCol w:w="1871"/>
      </w:tblGrid>
      <w:tr>
        <w:tc>
          <w:tcPr>
            <w:tcW w:type="dxa" w:w="1587"/>
          </w:tcPr>
          <w:p>
            <w:pPr>
              <w:keepNext/>
              <w:spacing w:after="0"/>
            </w:pPr>
            <w:r>
              <w:rPr>
                <w:b/>
                <w:sz w:val="18"/>
              </w:rPr>
              <w:t>Quarter</w:t>
            </w:r>
          </w:p>
        </w:tc>
        <w:tc>
          <w:tcPr>
            <w:tcW w:type="dxa" w:w="3969"/>
          </w:tcPr>
          <w:p>
            <w:pPr>
              <w:keepNext/>
              <w:spacing w:after="0"/>
            </w:pPr>
            <w:r>
              <w:rPr>
                <w:b/>
                <w:sz w:val="18"/>
              </w:rPr>
              <w:t>Capped intakes in the sample, by wave</w:t>
            </w:r>
          </w:p>
        </w:tc>
        <w:tc>
          <w:tcPr>
            <w:tcW w:type="dxa" w:w="1871"/>
          </w:tcPr>
          <w:p>
            <w:pPr>
              <w:keepNext/>
              <w:spacing w:after="0"/>
            </w:pPr>
            <w:r>
              <w:rPr>
                <w:b/>
                <w:sz w:val="18"/>
              </w:rPr>
              <w:t>Unemployment rate</w:t>
            </w:r>
          </w:p>
        </w:tc>
        <w:tc>
          <w:tcPr>
            <w:tcW w:type="dxa" w:w="1871"/>
          </w:tcPr>
          <w:p>
            <w:pPr>
              <w:keepNext/>
              <w:spacing w:after="0"/>
            </w:pPr>
            <w:r>
              <w:rPr>
                <w:b/>
                <w:sz w:val="18"/>
              </w:rPr>
              <w:t>Employment rate</w:t>
            </w:r>
          </w:p>
        </w:tc>
      </w:tr>
      <w:tr>
        <w:tc>
          <w:tcPr>
            <w:tcW w:type="dxa" w:w="1587"/>
          </w:tcPr>
          <w:p>
            <w:pPr>
              <w:keepNext/>
              <w:spacing w:after="0"/>
            </w:pPr>
            <w:r>
              <w:rPr>
                <w:sz w:val="18"/>
              </w:rPr>
              <w:t>Jul-Sep 2026</w:t>
            </w:r>
          </w:p>
        </w:tc>
        <w:tc>
          <w:tcPr>
            <w:tcW w:type="dxa" w:w="3969"/>
          </w:tcPr>
          <w:p>
            <w:pPr>
              <w:keepNext/>
              <w:spacing w:after="0"/>
            </w:pPr>
            <w:r>
              <w:rPr>
                <w:sz w:val="18"/>
              </w:rPr>
              <w:t>2 of 5, at waves 1 and 2</w:t>
            </w:r>
          </w:p>
        </w:tc>
        <w:tc>
          <w:tcPr>
            <w:tcW w:type="dxa" w:w="1871"/>
          </w:tcPr>
          <w:p>
            <w:pPr>
              <w:keepNext/>
              <w:spacing w:after="0"/>
              <w:jc w:val="right"/>
            </w:pPr>
            <w:r>
              <w:rPr>
                <w:sz w:val="18"/>
              </w:rPr>
              <w:t>+0.39</w:t>
            </w:r>
          </w:p>
        </w:tc>
        <w:tc>
          <w:tcPr>
            <w:tcW w:type="dxa" w:w="1871"/>
          </w:tcPr>
          <w:p>
            <w:pPr>
              <w:keepNext/>
              <w:spacing w:after="0"/>
              <w:jc w:val="right"/>
            </w:pPr>
            <w:r>
              <w:rPr>
                <w:sz w:val="18"/>
              </w:rPr>
              <w:t>-1.42</w:t>
            </w:r>
          </w:p>
        </w:tc>
      </w:tr>
      <w:tr>
        <w:tc>
          <w:tcPr>
            <w:tcW w:type="dxa" w:w="1587"/>
          </w:tcPr>
          <w:p>
            <w:pPr>
              <w:keepNext/>
              <w:spacing w:after="0"/>
            </w:pPr>
            <w:r>
              <w:rPr>
                <w:sz w:val="18"/>
              </w:rPr>
              <w:t>Oct-Dec 2026</w:t>
            </w:r>
          </w:p>
        </w:tc>
        <w:tc>
          <w:tcPr>
            <w:tcW w:type="dxa" w:w="3969"/>
          </w:tcPr>
          <w:p>
            <w:pPr>
              <w:keepNext/>
              <w:spacing w:after="0"/>
            </w:pPr>
            <w:r>
              <w:rPr>
                <w:sz w:val="18"/>
              </w:rPr>
              <w:t>3 of 5, at waves 1, 2 and 3</w:t>
            </w:r>
          </w:p>
        </w:tc>
        <w:tc>
          <w:tcPr>
            <w:tcW w:type="dxa" w:w="1871"/>
          </w:tcPr>
          <w:p>
            <w:pPr>
              <w:keepNext/>
              <w:spacing w:after="0"/>
              <w:jc w:val="right"/>
            </w:pPr>
            <w:r>
              <w:rPr>
                <w:sz w:val="18"/>
              </w:rPr>
              <w:t>+0.53</w:t>
            </w:r>
          </w:p>
        </w:tc>
        <w:tc>
          <w:tcPr>
            <w:tcW w:type="dxa" w:w="1871"/>
          </w:tcPr>
          <w:p>
            <w:pPr>
              <w:keepNext/>
              <w:spacing w:after="0"/>
              <w:jc w:val="right"/>
            </w:pPr>
            <w:r>
              <w:rPr>
                <w:sz w:val="18"/>
              </w:rPr>
              <w:t>-1.97</w:t>
            </w:r>
          </w:p>
        </w:tc>
      </w:tr>
      <w:tr>
        <w:tc>
          <w:tcPr>
            <w:tcW w:type="dxa" w:w="1587"/>
          </w:tcPr>
          <w:p>
            <w:pPr>
              <w:keepNext/>
              <w:spacing w:after="0"/>
            </w:pPr>
            <w:r>
              <w:rPr>
                <w:sz w:val="18"/>
              </w:rPr>
              <w:t>Jan-Mar 2027</w:t>
            </w:r>
          </w:p>
        </w:tc>
        <w:tc>
          <w:tcPr>
            <w:tcW w:type="dxa" w:w="3969"/>
          </w:tcPr>
          <w:p>
            <w:pPr>
              <w:keepNext/>
              <w:spacing w:after="0"/>
            </w:pPr>
            <w:r>
              <w:rPr>
                <w:sz w:val="18"/>
              </w:rPr>
              <w:t>4 of 5, at waves 1, 2, 3 and 4</w:t>
            </w:r>
          </w:p>
        </w:tc>
        <w:tc>
          <w:tcPr>
            <w:tcW w:type="dxa" w:w="1871"/>
          </w:tcPr>
          <w:p>
            <w:pPr>
              <w:keepNext/>
              <w:spacing w:after="0"/>
              <w:jc w:val="right"/>
            </w:pPr>
            <w:r>
              <w:rPr>
                <w:sz w:val="18"/>
              </w:rPr>
              <w:t>+0.62</w:t>
            </w:r>
          </w:p>
        </w:tc>
        <w:tc>
          <w:tcPr>
            <w:tcW w:type="dxa" w:w="1871"/>
          </w:tcPr>
          <w:p>
            <w:pPr>
              <w:keepNext/>
              <w:spacing w:after="0"/>
              <w:jc w:val="right"/>
            </w:pPr>
            <w:r>
              <w:rPr>
                <w:sz w:val="18"/>
              </w:rPr>
              <w:t>-2.44</w:t>
            </w:r>
          </w:p>
        </w:tc>
      </w:tr>
      <w:tr>
        <w:tc>
          <w:tcPr>
            <w:tcW w:type="dxa" w:w="1587"/>
          </w:tcPr>
          <w:p>
            <w:pPr>
              <w:keepNext/>
              <w:spacing w:after="0"/>
            </w:pPr>
            <w:r>
              <w:rPr>
                <w:sz w:val="18"/>
              </w:rPr>
              <w:t>Apr-Jun 2027</w:t>
            </w:r>
          </w:p>
        </w:tc>
        <w:tc>
          <w:tcPr>
            <w:tcW w:type="dxa" w:w="3969"/>
          </w:tcPr>
          <w:p>
            <w:pPr>
              <w:keepNext/>
              <w:spacing w:after="0"/>
            </w:pPr>
            <w:r>
              <w:rPr>
                <w:sz w:val="18"/>
              </w:rPr>
              <w:t>4 of 5, at waves 2, 3, 4 and 5</w:t>
            </w:r>
          </w:p>
        </w:tc>
        <w:tc>
          <w:tcPr>
            <w:tcW w:type="dxa" w:w="1871"/>
          </w:tcPr>
          <w:p>
            <w:pPr>
              <w:keepNext/>
              <w:spacing w:after="0"/>
              <w:jc w:val="right"/>
            </w:pPr>
            <w:r>
              <w:rPr>
                <w:sz w:val="18"/>
              </w:rPr>
              <w:t>+0.47</w:t>
            </w:r>
          </w:p>
        </w:tc>
        <w:tc>
          <w:tcPr>
            <w:tcW w:type="dxa" w:w="1871"/>
          </w:tcPr>
          <w:p>
            <w:pPr>
              <w:keepNext/>
              <w:spacing w:after="0"/>
              <w:jc w:val="right"/>
            </w:pPr>
            <w:r>
              <w:rPr>
                <w:sz w:val="18"/>
              </w:rPr>
              <w:t>-1.88</w:t>
            </w:r>
          </w:p>
        </w:tc>
      </w:tr>
      <w:tr>
        <w:tc>
          <w:tcPr>
            <w:tcW w:type="dxa" w:w="1587"/>
          </w:tcPr>
          <w:p>
            <w:pPr>
              <w:keepNext/>
              <w:spacing w:after="0"/>
            </w:pPr>
            <w:r>
              <w:rPr>
                <w:sz w:val="18"/>
              </w:rPr>
              <w:t>Jul-Sep 2027</w:t>
            </w:r>
          </w:p>
        </w:tc>
        <w:tc>
          <w:tcPr>
            <w:tcW w:type="dxa" w:w="3969"/>
          </w:tcPr>
          <w:p>
            <w:pPr>
              <w:keepNext/>
              <w:spacing w:after="0"/>
            </w:pPr>
            <w:r>
              <w:rPr>
                <w:sz w:val="18"/>
              </w:rPr>
              <w:t>3 of 5, at waves 3, 4 and 5</w:t>
            </w:r>
          </w:p>
        </w:tc>
        <w:tc>
          <w:tcPr>
            <w:tcW w:type="dxa" w:w="1871"/>
          </w:tcPr>
          <w:p>
            <w:pPr>
              <w:keepNext/>
              <w:spacing w:after="0"/>
              <w:jc w:val="right"/>
            </w:pPr>
            <w:r>
              <w:rPr>
                <w:sz w:val="18"/>
              </w:rPr>
              <w:t>+0.28</w:t>
            </w:r>
          </w:p>
        </w:tc>
        <w:tc>
          <w:tcPr>
            <w:tcW w:type="dxa" w:w="1871"/>
          </w:tcPr>
          <w:p>
            <w:pPr>
              <w:keepNext/>
              <w:spacing w:after="0"/>
              <w:jc w:val="right"/>
            </w:pPr>
            <w:r>
              <w:rPr>
                <w:sz w:val="18"/>
              </w:rPr>
              <w:t>-1.19</w:t>
            </w:r>
          </w:p>
        </w:tc>
      </w:tr>
    </w:tbl>
    <w:p>
      <w:pPr>
        <w:spacing w:after="80"/>
      </w:pPr>
    </w:p>
    <w:p>
      <w:r>
        <w:rPr>
          <w:b w:val="0"/>
          <w:i w:val="0"/>
          <w:sz w:val="18"/>
        </w:rPr>
        <w:t>How the gap is measured. The cap is simulated on January to March 2026, the one quarter whose five intakes were all first interviewed on six visits and all have their visit histories in the call-record file: for each quarter ahead, the households first interviewed at a fourth to sixth visit are taken out of the waves that quarter's capped intakes hold, the remaining sample is raked again to the population controls, and the gap is the change in each rate. Removing them from wave 1 alone understates every quarter and shows no gap at all once six visits return; carrying the wave-1 difference unchanged into the later waves overstates every quarter.</w:t>
      </w:r>
    </w:p>
    <w:p>
      <w:r>
        <w:rPr>
          <w:b w:val="0"/>
          <w:i w:val="0"/>
          <w:sz w:val="18"/>
        </w:rPr>
        <w:t>Regional field and flow figures for the quarter's quality report (first-interview visits to the July to September intake, the share of April to June's unemployed respondents in work by July to September, and total weekly hours actually worked) are in the accompanying workbook.</w:t>
      </w:r>
    </w:p>
    <w:p>
      <w:pPr>
        <w:spacing w:after="0"/>
      </w:pPr>
      <w:r>
        <w:rPr>
          <w:b w:val="0"/>
          <w:i w:val="0"/>
        </w:rPr>
        <w:t>Raewyn Bailey</w:t>
      </w:r>
    </w:p>
    <w:p>
      <w:r>
        <w:rPr>
          <w:b w:val="0"/>
          <w:i w:val="0"/>
          <w:color w:val="56606A"/>
          <w:sz w:val="18"/>
        </w:rPr>
        <w:t>Head of Labour Market Statistics</w:t>
      </w:r>
    </w:p>
    <w:sectPr w:rsidR="00FC693F" w:rsidRPr="0006063C" w:rsidSect="00034616">
      <w:footerReference w:type="default" r:id="rId10"/>
      <w:pgSz w:w="11906" w:h="16838"/>
      <w:pgMar w:top="1134" w:right="1304" w:bottom="107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5"/>
      </w:rPr>
      <w:t xml:space="preserve">MS-LMS-2026-031   page </w:t>
    </w:r>
    <w:r>
      <w:rPr>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Company>Merrowland Statistics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HLS visit cap note</dc:title>
  <dc:creator>Raewyn Bailey</dc:creator>
  <cp:lastModifiedBy>Raewyn Bailey</cp:lastModifiedBy>
  <dcterms:created xsi:type="dcterms:W3CDTF">2026-10-22T09:14:00Z</dcterms:created>
  <dcterms:modified xsi:type="dcterms:W3CDTF">2026-10-23T08:40:00Z</dcterms:modified>
</cp:coreProperties>
</file>