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Member Operations</w:t>
      </w:r>
    </w:p>
    <w:p>
      <w:r>
        <w:rPr>
          <w:b/>
          <w:sz w:val="26"/>
        </w:rPr>
        <w:t>Contribution queries takes the first-half 2027 process re-engineering review</w:t>
      </w:r>
    </w:p>
    <w:p>
      <w:r>
        <w:t>For the service improvement response to the Pensions Authority (SUP/2026/0418). 8 May 2026.</w:t>
      </w:r>
    </w:p>
    <w:p>
      <w:r>
        <w:t>The review goes to Contribution queries. Its FY2026 breach share is 12.4 per cent, on the 6,480 cases it received between 1 April 2025 and 31 March 2026.</w:t>
      </w:r>
    </w:p>
    <w:p>
      <w:r>
        <w:t>Clause 4.2 of the assurance framework picks the queue standing furthest above the share the same queue reached in those of its FY2023 to FY2025 quarters that carried the same offered load. Contribution queries carried 15.0 positions-equivalents of work against 16 rostered positions in each quarter of FY2026, against 14.7 to 15.0 on the same 16 positions in every quarter since FY2023, and its own quarters at that load answered 2.2 per cent of cases late. It is now at 12.4 per cent. Nothing in its workload or its roster changed.</w:t>
      </w:r>
    </w:p>
    <w:p>
      <w:r>
        <w:t>Three queues answer a larger share late and none of them is the candidate. Investment switches, at 29.8 per cent, is below the 30.9 per cent its own quarters at the same offered load reached. Member data corrections, at 25.8 per cent, stands 2.1 points above its own 23.7 per cent, and Transfers in, at 13.4 per cent, 2.5 points above its own 10.8 per cent, against 10.2 points for the candidate.</w:t>
      </w:r>
    </w:p>
    <w:p>
      <w:r>
        <w:t>Member data corrections is the one to watch in that list. It ran five positions in FY2026 and in FY2023, and fourteen through FY2024 and FY2025, when the member data remediation programme carried nine temporary posts and close to three times the caseload. Its FY2026 quarters carried 4.7 positions-equivalents, which is what its FY2023 quarters carried on the same five positions, and those quarters answered between 17.9 and 27.8 per cent of cases late.</w:t>
      </w:r>
    </w:p>
    <w:p>
      <w:r>
        <w:t>Recommendation: commission the H1 2027 review on Contribution queries. The workbook carries the quarterly position for all nine queues, the scheme charging reconciliation and the ten largest participating schemes by case load.</w:t>
      </w:r>
    </w:p>
    <w:p>
      <w:r>
        <w:rPr>
          <w:sz w:val="17"/>
        </w:rPr>
        <w:t>Sources: Gemini and Orbit case extracts pulled 30 April 2026; rostered capacity record refreshed 17 April 2026; Work Measurement Standard 2022; Member Service Standard issue 6. Shares are of cases received in the year, not of cases closed in it, so they will not tie to the quarterly performance export, which reports on cases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 queries takes the H1 2027 process review</dc:title>
  <dc:subject/>
  <dc:creator>Member Operations</dc:creator>
  <cp:keywords/>
  <dc:description/>
  <cp:lastModifiedBy>Member Operations</cp:lastModifiedBy>
  <cp:revision>1</cp:revision>
  <dcterms:created xsi:type="dcterms:W3CDTF">2026-05-08T16:30:00Z</dcterms:created>
  <dcterms:modified xsi:type="dcterms:W3CDTF">2026-05-08T16:30:00Z</dcterms:modified>
  <cp:category>Service improvement response</cp:category>
</cp:coreProperties>
</file>