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</w:rPr>
        <w:t>To:</w:t>
        <w:tab/>
      </w:r>
      <w:r>
        <w:t>Aaron Bradley, Director, Community Screening Program</w:t>
      </w:r>
    </w:p>
    <w:p>
      <w:pPr>
        <w:spacing w:after="0" w:before="0"/>
      </w:pPr>
      <w:r>
        <w:rPr>
          <w:b/>
        </w:rPr>
        <w:t>Cc:</w:t>
        <w:tab/>
      </w:r>
      <w:r>
        <w:t>Ariel Tucker, MD, Medical Director</w:t>
      </w:r>
    </w:p>
    <w:p>
      <w:pPr>
        <w:spacing w:after="0" w:before="0"/>
      </w:pPr>
      <w:r>
        <w:rPr>
          <w:b/>
        </w:rPr>
        <w:t>From:</w:t>
        <w:tab/>
      </w:r>
      <w:r>
        <w:t>Matthew Garcia, program analyst</w:t>
      </w:r>
    </w:p>
    <w:p>
      <w:pPr>
        <w:spacing w:after="0" w:before="0"/>
      </w:pPr>
      <w:r>
        <w:rPr>
          <w:b/>
        </w:rPr>
        <w:t>Date:</w:t>
        <w:tab/>
      </w:r>
      <w:r>
        <w:t>22 January 2027</w:t>
      </w:r>
    </w:p>
    <w:p>
      <w:pPr>
        <w:spacing w:after="0" w:before="0"/>
      </w:pPr>
      <w:r>
        <w:rPr>
          <w:b/>
        </w:rPr>
        <w:t>Re:</w:t>
        <w:tab/>
      </w:r>
      <w:r>
        <w:t>Referral rule for the 2027 season (protocol 2026-27, section 6)</w:t>
      </w:r>
    </w:p>
    <w:p>
      <w:pPr>
        <w:spacing w:after="80" w:before="160"/>
      </w:pPr>
      <w:r>
        <w:rPr>
          <w:b/>
          <w:sz w:val="26"/>
        </w:rPr>
        <w:t>HbA1c of 5.7% or higher, or a random glucose of 120 mg/dL or higher, is the rule for 2027</w:t>
      </w:r>
    </w:p>
    <w:p>
      <w:pPr>
        <w:spacing w:after="80" w:before="0"/>
      </w:pPr>
      <w:r>
        <w:rPr>
          <w:b/>
        </w:rPr>
        <w:t xml:space="preserve">Load rule A57G120 into the tablets: refer every adult with an HbA1c of 5.7% or higher or a random glucose of 120 mg/dL or higher. </w:t>
      </w:r>
      <w:r>
        <w:t>Among everyone we screened in 2026 it would have referred 90% of the adults with undiagnosed diabetes, above the protocol's 85%, while referring 36.3% of the adults screened. No rule that refers fewer adults reaches 85%: an HbA1c of 5.7% or higher alone finds 80%, and the 2026 rule plus an HbA1c of 6.0% or higher 79%.</w:t>
      </w:r>
    </w:p>
    <w:tbl>
      <w:tblPr>
        <w:tblStyle w:val="LightList"/>
        <w:tblW w:type="auto" w:w="0"/>
        <w:tblLayout w:type="fixed"/>
        <w:tblLook w:firstColumn="1" w:firstRow="1" w:lastColumn="0" w:lastRow="0" w:noHBand="0" w:noVBand="1" w:val="04A0"/>
      </w:tblPr>
      <w:tblGrid>
        <w:gridCol w:w="5556"/>
        <w:gridCol w:w="1531"/>
        <w:gridCol w:w="1871"/>
        <w:gridCol w:w="1077"/>
      </w:tblGrid>
      <w:tr>
        <w:tc>
          <w:tcPr>
            <w:tcW w:type="dxa" w:w="5556"/>
          </w:tcPr>
          <w:p>
            <w:r>
              <w:t>Candidate rule</w:t>
            </w:r>
          </w:p>
        </w:tc>
        <w:tc>
          <w:tcPr>
            <w:tcW w:type="dxa" w:w="1531"/>
          </w:tcPr>
          <w:p>
            <w:r>
              <w:t>Adults screened referred</w:t>
            </w:r>
          </w:p>
        </w:tc>
        <w:tc>
          <w:tcPr>
            <w:tcW w:type="dxa" w:w="1871"/>
          </w:tcPr>
          <w:p>
            <w:r>
              <w:t>Undiagnosed diabetes referred</w:t>
            </w:r>
          </w:p>
        </w:tc>
        <w:tc>
          <w:tcPr>
            <w:tcW w:type="dxa" w:w="1077"/>
          </w:tcPr>
          <w:p>
            <w:r>
              <w:t>Meets 85%</w:t>
            </w:r>
          </w:p>
        </w:tc>
      </w:tr>
      <w:tr>
        <w:tc>
          <w:tcPr>
            <w:tcW w:type="dxa" w:w="5556"/>
          </w:tcPr>
          <w:p>
            <w:r>
              <w:t>HbA1c of 6.0% or higher (A60)</w:t>
            </w:r>
          </w:p>
        </w:tc>
        <w:tc>
          <w:tcPr>
            <w:tcW w:type="dxa" w:w="1531"/>
          </w:tcPr>
          <w:p>
            <w:pPr>
              <w:jc w:val="right"/>
            </w:pPr>
            <w:r>
              <w:t>8.4%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t>51%</w:t>
            </w:r>
          </w:p>
        </w:tc>
        <w:tc>
          <w:tcPr>
            <w:tcW w:type="dxa" w:w="1077"/>
          </w:tcPr>
          <w:p>
            <w:r>
              <w:t>No</w:t>
            </w:r>
          </w:p>
        </w:tc>
      </w:tr>
      <w:tr>
        <w:tc>
          <w:tcPr>
            <w:tcW w:type="dxa" w:w="5556"/>
          </w:tcPr>
          <w:p>
            <w:r>
              <w:t>2026 rule, or HbA1c of 6.0% or higher (R26A60)</w:t>
            </w:r>
          </w:p>
        </w:tc>
        <w:tc>
          <w:tcPr>
            <w:tcW w:type="dxa" w:w="1531"/>
          </w:tcPr>
          <w:p>
            <w:pPr>
              <w:jc w:val="right"/>
            </w:pPr>
            <w:r>
              <w:t>24.9%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t>79%</w:t>
            </w:r>
          </w:p>
        </w:tc>
        <w:tc>
          <w:tcPr>
            <w:tcW w:type="dxa" w:w="1077"/>
          </w:tcPr>
          <w:p>
            <w:r>
              <w:t>No</w:t>
            </w:r>
          </w:p>
        </w:tc>
      </w:tr>
      <w:tr>
        <w:tc>
          <w:tcPr>
            <w:tcW w:type="dxa" w:w="5556"/>
          </w:tcPr>
          <w:p>
            <w:r>
              <w:t>HbA1c of 5.7% or higher (A57)</w:t>
            </w:r>
          </w:p>
        </w:tc>
        <w:tc>
          <w:tcPr>
            <w:tcW w:type="dxa" w:w="1531"/>
          </w:tcPr>
          <w:p>
            <w:pPr>
              <w:jc w:val="right"/>
            </w:pPr>
            <w:r>
              <w:t>28.2%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t>80%</w:t>
            </w:r>
          </w:p>
        </w:tc>
        <w:tc>
          <w:tcPr>
            <w:tcW w:type="dxa" w:w="1077"/>
          </w:tcPr>
          <w:p>
            <w:r>
              <w:t>No</w:t>
            </w:r>
          </w:p>
        </w:tc>
      </w:tr>
      <w:tr>
        <w:tc>
          <w:tcPr>
            <w:tcW w:type="dxa" w:w="5556"/>
          </w:tcPr>
          <w:p>
            <w:r>
              <w:t>Risk score of 5 or higher (SC5)</w:t>
            </w:r>
          </w:p>
        </w:tc>
        <w:tc>
          <w:tcPr>
            <w:tcW w:type="dxa" w:w="1531"/>
          </w:tcPr>
          <w:p>
            <w:pPr>
              <w:jc w:val="right"/>
            </w:pPr>
            <w:r>
              <w:t>35.9%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t>62%</w:t>
            </w:r>
          </w:p>
        </w:tc>
        <w:tc>
          <w:tcPr>
            <w:tcW w:type="dxa" w:w="1077"/>
          </w:tcPr>
          <w:p>
            <w:r>
              <w:t>No</w:t>
            </w:r>
          </w:p>
        </w:tc>
      </w:tr>
      <w:tr>
        <w:tc>
          <w:tcPr>
            <w:tcW w:type="dxa" w:w="5556"/>
          </w:tcPr>
          <w:p>
            <w:r>
              <w:rPr>
                <w:b/>
              </w:rPr>
              <w:t>HbA1c of 5.7% or higher, or random glucose of 120 mg/dL or higher (A57G120)</w:t>
            </w:r>
          </w:p>
        </w:tc>
        <w:tc>
          <w:tcPr>
            <w:tcW w:type="dxa" w:w="1531"/>
          </w:tcPr>
          <w:p>
            <w:pPr>
              <w:jc w:val="right"/>
            </w:pPr>
            <w:r>
              <w:rPr>
                <w:b/>
              </w:rPr>
              <w:t>36.3%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b/>
              </w:rPr>
              <w:t>90%</w:t>
            </w:r>
          </w:p>
        </w:tc>
        <w:tc>
          <w:tcPr>
            <w:tcW w:type="dxa" w:w="1077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5556"/>
          </w:tcPr>
          <w:p>
            <w:r>
              <w:t>HbA1c of 5.5% or higher (A55)</w:t>
            </w:r>
          </w:p>
        </w:tc>
        <w:tc>
          <w:tcPr>
            <w:tcW w:type="dxa" w:w="1531"/>
          </w:tcPr>
          <w:p>
            <w:pPr>
              <w:jc w:val="right"/>
            </w:pPr>
            <w:r>
              <w:t>49.3%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t>93%</w:t>
            </w:r>
          </w:p>
        </w:tc>
        <w:tc>
          <w:tcPr>
            <w:tcW w:type="dxa" w:w="1077"/>
          </w:tcPr>
          <w:p>
            <w:r>
              <w:t>Yes</w:t>
            </w:r>
          </w:p>
        </w:tc>
      </w:tr>
    </w:tbl>
    <w:p>
      <w:pPr>
        <w:spacing w:after="120" w:before="40"/>
      </w:pPr>
      <w:r>
        <w:rPr>
          <w:b w:val="0"/>
          <w:color w:val="5B646B"/>
          <w:sz w:val="15"/>
        </w:rPr>
        <w:t>Source: screening encounters and the OGTT results from Thessler Laboratories, 2026 season; 37,269 adults screened, 10,715 with a complete OGTT.</w:t>
      </w:r>
    </w:p>
    <w:p>
      <w:pPr>
        <w:spacing w:after="80" w:before="0"/>
      </w:pPr>
      <w:r>
        <w:rPr>
          <w:b w:val="0"/>
        </w:rPr>
        <w:t>Most of the season's OGTTs went to adults the 2026 rule referred; the evaluation draw offered the test to one in five of everyone else. Read among the adults who were tested, the 2026 rule plus an HbA1c of 6.0% or higher finds 94% of the diabetes, because nearly every tested case was one the 2026 rule had already flagged. Once each tested adult stands for the adults of their own group, 33% of the adults with undiagnosed diabetes were among those the 2026 rule did not refer, milder cases that an HbA1c of 6.0% misses, and that rule falls to 79%.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2989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ral_rules_20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8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b w:val="0"/>
        </w:rPr>
        <w:t>The season's records are in the review workbook: the HbA1c cartridges each analyzer used, 40,248 in all with the replaced units and the loaner counted on the tags they served, and Thessler Laboratories' billing by month, $415,800.00 net for the season's OGTTs, $409,255.00 of it for adults we screened.</w:t>
      </w:r>
    </w:p>
    <w:p>
      <w:pPr>
        <w:spacing w:after="0" w:before="0"/>
      </w:pPr>
      <w:r>
        <w:rPr>
          <w:b w:val="0"/>
          <w:color w:val="5B646B"/>
          <w:sz w:val="15"/>
        </w:rPr>
        <w:t>Each adult counts once, at the first screening of the season. Shares of the adults with undiagnosed diabetes are estimates, given to the whole percent; the target is compared unrounded.</w:t>
      </w:r>
    </w:p>
    <w:sectPr w:rsidR="00FC693F" w:rsidRPr="0006063C" w:rsidSect="00034616">
      <w:headerReference w:type="default" r:id="rId9"/>
      <w:pgSz w:w="12240" w:h="15840"/>
      <w:pgMar w:top="737" w:right="1077" w:bottom="68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46B"/>
        <w:sz w:val="15"/>
      </w:rPr>
      <w:t>Sallowfield Health | Community Screening Program | 2027 season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406</Words>
  <Characters>1940</Characters>
  <Application>Microsoft Office Word</Application>
  <DocSecurity>0</DocSecurity>
  <Lines>53</Lines>
  <Paragraphs>39</Paragraphs>
  <ScaleCrop>false</ScaleCrop>
  <Company>Sallowfield Health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rule for the 2027 season</dc:title>
  <dc:creator>Matthew Garcia</dc:creator>
  <cp:lastModifiedBy>Matthew Garcia</cp:lastModifiedBy>
  <dcterms:created xsi:type="dcterms:W3CDTF">2027-01-20T15:03:44Z</dcterms:created>
  <dcterms:modified xsi:type="dcterms:W3CDTF">2027-01-22T20:11:09Z</dcterms:modified>
</cp:coreProperties>
</file>