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thick" w:color="2E75B6" w:sz="8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ChangeGuard: AI-Powered Dependency Tracing for Precision Test Coverage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ED6F1"/>
                <w:sz w:val="26"/>
                <w:szCs w:val="26"/>
              </w:rPr>
              <w:t xml:space="preserve">in Multi-Module NVMe/SATA SSD Firmware Stacks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7FB3D3"/>
                <w:sz w:val="16"/>
                <w:szCs w:val="16"/>
              </w:rPr>
              <w:t xml:space="preserve">Verification &amp; Validation Engineering  |  Semiconductor Memory Technology Research Organization  |  2025</w:t>
            </w:r>
          </w:p>
        </w:tc>
      </w:tr>
    </w:tbl>
    <w:p>
      <w:pPr>
        <w:spacing w:after="30" w:before="3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Abstract — 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Modern SSD firmware comprising FIL, FTL, HAL, HIL, Controller, Firmware Core, FLASH, NVMe, SATA, and ECC modules presents extreme test scope challenges in multi-site development. We propose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17"/>
                <w:szCs w:val="17"/>
              </w:rPr>
              <w:t xml:space="preserve">ChangeGuard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— an AI-driven Dependency Structure Matrix (DSM) framework that automatically identifies impacted modules from code changes, computes transitive risk propagation, and generates prioritized test execution plans. Validated on 6 product releases (n=462 changes), the system achieves </w:t>
            </w: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94.8% precision, 78% reduction in test scope identification time,</w:t>
            </w: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 and zero CRITICAL/HIGH defect escapes, integrating directly into CI/CD pipelines.</w:t>
            </w:r>
          </w:p>
        </w:tc>
      </w:tr>
    </w:tbl>
    <w:p>
      <w:pPr>
        <w:spacing w:after="30" w:before="30"/>
      </w:pPr>
      <w:r>
        <w:rPr>
          <w:sz w:val="8"/>
          <w:szCs w:val="8"/>
        </w:rPr>
        <w:t xml:space="preserve"/>
      </w:r>
    </w:p>
    <w:p>
      <w:pPr>
        <w:sectPr>
          <w:type w:val="continuous"/>
          <w:pgSz w:w="12240" w:h="15840" w:orient="portrait"/>
          <w:pgMar w:top="720" w:right="936" w:bottom="0" w:left="936" w:header="708" w:footer="708" w:gutter="0"/>
          <w:pgNumType/>
          <w:docGrid w:linePitch="360"/>
        </w:sectPr>
      </w:pPr>
    </w:p>
    <w:p>
      <w:pPr>
        <w:pBdr>
          <w:bottom w:val="single" w:color="2E75B6" w:sz="3"/>
        </w:pBdr>
        <w:shd w:fill="1F3864" w:val="clear"/>
        <w:spacing w:after="50" w:before="80"/>
        <w:ind w:left="80" w:right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1. INTRODUCTION</w:t>
      </w:r>
    </w:p>
    <w:p>
      <w:pPr>
        <w:spacing w:after="40" w:before="4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SSD firmware is a tightly coupled multi-module system where a single code change can cascade functional risks across dependent layers. In high-velocity multi-site development — common for NVMe and SATA SSD products — manually determining which test cases must execute for a given release is slow, error-prone, and frequently incomplete. Transitive dependencies (A impacts C through B) are routinely missed, enabling latent defects to escape to production.</w:t>
      </w:r>
    </w:p>
    <w:p>
      <w:pPr>
        <w:spacing w:after="40" w:before="4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This paper presents ChangeGuard, an AI-augmented Dependency Structure Matrix framework that automatically models inter-module relationships, propagates change impact through the full dependency graph, and generates a prioritized, CI/CD-integrated test execution plan for every code commit. The system targets the 10-module firmware stack shown in Table 2.</w:t>
      </w:r>
    </w:p>
    <w:p>
      <w:pPr>
        <w:spacing w:after="30" w:before="30"/>
      </w:pPr>
      <w:r>
        <w:rPr>
          <w:sz w:val="8"/>
          <w:szCs w:val="8"/>
        </w:rPr>
        <w:t xml:space="preserve"/>
      </w:r>
    </w:p>
    <w:p>
      <w:pPr>
        <w:pBdr>
          <w:bottom w:val="single" w:color="2E75B6" w:sz="3"/>
        </w:pBdr>
        <w:shd w:fill="1F3864" w:val="clear"/>
        <w:spacing w:after="50" w:before="80"/>
        <w:ind w:left="80" w:right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2. METHODOLOGY</w:t>
      </w:r>
    </w:p>
    <w:p>
      <w:pPr>
        <w:pBdr>
          <w:bottom w:val="single" w:color="D6E4F0" w:sz="2"/>
        </w:pBdr>
        <w:spacing w:after="30" w:before="7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2.1 DSM Formulation</w:t>
      </w:r>
    </w:p>
    <w:p>
      <w:pPr>
        <w:spacing w:after="40" w:before="4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The firmware system is modeled as a directed graph G=(V,E) with N modules. The dependency matrix D[i][j]=1 if mᵢ depends on mⱼ, else 0. A weighted extension W[i][j]∈[0,1] captures coupling strength from call frequency, header inclusion depth, and co-change correlation. The Module Criticality Index (MCI) is:</w:t>
      </w:r>
    </w:p>
    <w:p>
      <w:pPr>
        <w:shd w:fill="F5F5F5" w:val="clear"/>
        <w:spacing w:after="40" w:before="40"/>
        <w:ind w:left="200"/>
      </w:pPr>
      <w:r>
        <w:rPr>
          <w:rFonts w:ascii="Courier New" w:cs="Courier New" w:eastAsia="Courier New" w:hAnsi="Courier New"/>
          <w:b/>
          <w:bCs/>
          <w:color w:val="1F3864"/>
          <w:sz w:val="16"/>
          <w:szCs w:val="16"/>
        </w:rPr>
        <w:t xml:space="preserve">MCI(mᵢ) = 0.4×Fan-In + 0.3×Fan-Out + 0.3×ChangeFreq  [normalized 0–1]</w:t>
      </w:r>
    </w:p>
    <w:p>
      <w:pPr>
        <w:spacing w:after="40" w:before="4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Transitive impact T(S) for changed set S is computed via Boolean transitive closure D*=D∪D²∪…∪Dⁿ, capturing all multi-hop propagation paths.</w:t>
      </w:r>
    </w:p>
    <w:p>
      <w:pPr>
        <w:pBdr>
          <w:bottom w:val="single" w:color="D6E4F0" w:sz="2"/>
        </w:pBdr>
        <w:spacing w:after="30" w:before="7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2.2 Dependency Extraction (3-Pronged)</w:t>
      </w:r>
    </w:p>
    <w:p>
      <w:pPr>
        <w:pStyle w:val="ListParagraph"/>
        <w:numPr>
          <w:ilvl w:val="0"/>
          <w:numId w:val="2"/>
        </w:numPr>
        <w:spacing w:after="20" w:before="20" w:line="23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AST/Call Graph — LLVM/Clang parses source to extract cross-module function calls and indirect dispatch chains.</w:t>
      </w:r>
    </w:p>
    <w:p>
      <w:pPr>
        <w:pStyle w:val="ListParagraph"/>
        <w:numPr>
          <w:ilvl w:val="0"/>
          <w:numId w:val="2"/>
        </w:numPr>
        <w:spacing w:after="20" w:before="20" w:line="23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Include Graph — Header inclusion depth quantifies compile-time architectural coupling.</w:t>
      </w:r>
    </w:p>
    <w:p>
      <w:pPr>
        <w:pStyle w:val="ListParagraph"/>
        <w:numPr>
          <w:ilvl w:val="0"/>
          <w:numId w:val="2"/>
        </w:numPr>
        <w:spacing w:after="20" w:before="20" w:line="230"/>
      </w:pPr>
      <w:r>
        <w:rPr>
          <w:rFonts w:ascii="Arial" w:cs="Arial" w:eastAsia="Arial" w:hAnsi="Arial"/>
          <w:color w:val="222222"/>
          <w:sz w:val="17"/>
          <w:szCs w:val="17"/>
        </w:rPr>
        <w:t xml:space="preserve">Co-change Mining — Git history (12-month rolling window) identifies historically co-modified module pairs.</w:t>
      </w:r>
    </w:p>
    <w:p>
      <w:pPr>
        <w:pBdr>
          <w:bottom w:val="single" w:color="D6E4F0" w:sz="2"/>
        </w:pBdr>
        <w:spacing w:after="30" w:before="7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2.3 AI Impact Propagation</w:t>
      </w:r>
    </w:p>
    <w:p>
      <w:pPr>
        <w:spacing w:after="40" w:before="4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A BFS traversal over W identifies direct and transitive impacts. An XGBoost classifier (trained on 24 months, 1,847 changes, 412 escapes) scores risk per module using [MCI, W[m][S], ChangeFreq, HistoricDefectRate] as features. Modules are ranked CRITICAL (MCI≥0.70) → HIGH (≥0.45) → MEDIUM → LOW, mapped to corresponding test suite tiers.</w:t>
      </w:r>
    </w:p>
    <w:p>
      <w:pPr>
        <w:pBdr>
          <w:bottom w:val="single" w:color="D6E4F0" w:sz="2"/>
        </w:pBdr>
        <w:spacing w:after="30" w:before="7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2.4 Pipeline Architecture</w:t>
      </w:r>
    </w:p>
    <w:p>
      <w:pPr>
        <w:spacing w:after="30" w:before="30"/>
      </w:pPr>
      <w:r>
        <w:rPr>
          <w:sz w:val="8"/>
          <w:szCs w:val="8"/>
        </w:rPr>
        <w:t xml:space="preserve"/>
      </w:r>
    </w:p>
    <w:tbl>
      <w:tblPr>
        <w:tblW w:type="dxa" w:w="5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00"/>
        <w:gridCol w:w="4060"/>
      </w:tblGrid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①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Change Detection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Git webhook → extracts changed file set per commit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②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Static Analysis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AST + call graph + include graph → dependency edges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③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DSM Construction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N×N weighted matrix; W[i][j] = f(calls, includes, co-change)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④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AI Propagation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BFS transitive closure + XGBoost risk scorer</w:t>
            </w:r>
          </w:p>
        </w:tc>
      </w:tr>
      <w:tr>
        <w:tc>
          <w:tcPr>
            <w:tcW w:type="dxa" w:w="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F3864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⑤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Test Recommendation</w:t>
            </w:r>
          </w:p>
        </w:tc>
        <w:tc>
          <w:tcPr>
            <w:tcW w:type="dxa" w:w="40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5"/>
              <w:left w:type="dxa" w:w="80"/>
              <w:bottom w:type="dxa" w:w="3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5"/>
                <w:szCs w:val="15"/>
              </w:rPr>
              <w:t xml:space="preserve">Suite selector → prioritized CI/CD test plan output</w:t>
            </w:r>
          </w:p>
        </w:tc>
      </w:tr>
    </w:tbl>
    <w:p>
      <w:pPr>
        <w:spacing w:after="30" w:before="30"/>
      </w:pPr>
      <w:r>
        <w:rPr>
          <w:sz w:val="8"/>
          <w:szCs w:val="8"/>
        </w:rPr>
        <w:t xml:space="preserve"/>
      </w:r>
    </w:p>
    <w:p>
      <w:pPr>
        <w:pBdr>
          <w:bottom w:val="single" w:color="2E75B6" w:sz="3"/>
        </w:pBdr>
        <w:shd w:fill="1F3864" w:val="clear"/>
        <w:spacing w:after="50" w:before="80"/>
        <w:ind w:left="80" w:right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3. RESULTS</w:t>
      </w:r>
    </w:p>
    <w:p>
      <w:pPr>
        <w:pBdr>
          <w:bottom w:val="single" w:color="D6E4F0" w:sz="2"/>
        </w:pBdr>
        <w:spacing w:after="30" w:before="7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3.1 DSM — 10-Module Firmware Stack</w:t>
      </w:r>
    </w:p>
    <w:p>
      <w:pPr>
        <w:spacing w:after="40" w:before="4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Fig. 1 shows the constructed DSM. FW exhibits maximum coupling (Fan-In=9, Fan-Out=9, MCI=1.00), confirming it as the highest-risk orchestrator module. A previously undocumented triangular cycle FIL↔FTL↔HAL was identified as architectural debt.</w:t>
      </w:r>
    </w:p>
    <w:p>
      <w:pPr>
        <w:spacing w:after="30" w:before="30"/>
      </w:pPr>
      <w:r>
        <w:rPr>
          <w:sz w:val="8"/>
          <w:szCs w:val="8"/>
        </w:rPr>
        <w:t xml:space="preserve"/>
      </w:r>
    </w:p>
    <w:tbl>
      <w:tblPr>
        <w:tblW w:type="dxa" w:w="69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  <w:gridCol w:w="620"/>
      </w:tblGrid>
      <w:tr>
        <w:tc>
          <w:tcPr>
            <w:tcW w:type="dxa" w:w="7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Mod ↓</w:t>
            </w:r>
          </w:p>
        </w:tc>
        <w:tc>
          <w:tcPr>
            <w:tcW w:type="dxa" w:w="6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FIL</w:t>
            </w:r>
          </w:p>
        </w:tc>
        <w:tc>
          <w:tcPr>
            <w:tcW w:type="dxa" w:w="6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FTL</w:t>
            </w:r>
          </w:p>
        </w:tc>
        <w:tc>
          <w:tcPr>
            <w:tcW w:type="dxa" w:w="6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HAL</w:t>
            </w:r>
          </w:p>
        </w:tc>
        <w:tc>
          <w:tcPr>
            <w:tcW w:type="dxa" w:w="6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HIL</w:t>
            </w:r>
          </w:p>
        </w:tc>
        <w:tc>
          <w:tcPr>
            <w:tcW w:type="dxa" w:w="6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CTL</w:t>
            </w:r>
          </w:p>
        </w:tc>
        <w:tc>
          <w:tcPr>
            <w:tcW w:type="dxa" w:w="6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FW</w:t>
            </w:r>
          </w:p>
        </w:tc>
        <w:tc>
          <w:tcPr>
            <w:tcW w:type="dxa" w:w="6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FLS</w:t>
            </w:r>
          </w:p>
        </w:tc>
        <w:tc>
          <w:tcPr>
            <w:tcW w:type="dxa" w:w="6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NVM</w:t>
            </w:r>
          </w:p>
        </w:tc>
        <w:tc>
          <w:tcPr>
            <w:tcW w:type="dxa" w:w="6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SAT</w:t>
            </w:r>
          </w:p>
        </w:tc>
        <w:tc>
          <w:tcPr>
            <w:tcW w:type="dxa" w:w="62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20"/>
              <w:bottom w:type="dxa" w:w="4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ECC</w:t>
            </w:r>
          </w:p>
        </w:tc>
      </w:tr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FIL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X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</w:tr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FTL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X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</w:tr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HAL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X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</w:tr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HIL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X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</w:tr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CTL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X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</w:tr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FW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X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</w:tr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FLS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X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</w:tr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NVM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X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</w:tr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SAT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X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</w:tr>
      <w:tr>
        <w:tc>
          <w:tcPr>
            <w:tcW w:type="dxa" w:w="7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ECC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■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·</w:t>
            </w:r>
          </w:p>
        </w:tc>
        <w:tc>
          <w:tcPr>
            <w:tcW w:type="dxa" w:w="6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9D9D9" w:val="clear"/>
            <w:tcMar>
              <w:top w:type="dxa" w:w="30"/>
              <w:left w:type="dxa" w:w="20"/>
              <w:bottom w:type="dxa" w:w="3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X</w:t>
            </w:r>
          </w:p>
        </w:tc>
      </w:tr>
    </w:tbl>
    <w:p>
      <w:pPr>
        <w:spacing w:after="40" w:before="30"/>
        <w:jc w:val="center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Fig. 1: DSM — ■ Direct Dependency, X Self, · None</w:t>
      </w:r>
    </w:p>
    <w:p>
      <w:pPr>
        <w:pBdr>
          <w:bottom w:val="single" w:color="D6E4F0" w:sz="2"/>
        </w:pBdr>
        <w:spacing w:after="30" w:before="7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3.2 Module Criticality Index</w:t>
      </w:r>
    </w:p>
    <w:tbl>
      <w:tblPr>
        <w:tblW w:type="dxa" w:w="4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00"/>
        <w:gridCol w:w="800"/>
        <w:gridCol w:w="800"/>
        <w:gridCol w:w="1460"/>
      </w:tblGrid>
      <w:tr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Module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Fan-In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Fan-Out</w:t>
            </w:r>
          </w:p>
        </w:tc>
        <w:tc>
          <w:tcPr>
            <w:tcW w:type="dxa" w:w="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MCI</w:t>
            </w:r>
          </w:p>
        </w:tc>
        <w:tc>
          <w:tcPr>
            <w:tcW w:type="dxa" w:w="1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FW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9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9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1.00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CTRL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7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6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0.72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CRITICAL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HAL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5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5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0.55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4"/>
                <w:szCs w:val="14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HIL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5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0.50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4"/>
                <w:szCs w:val="14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FTL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0.44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4"/>
                <w:szCs w:val="14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FIL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4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0.39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ECC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0.33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FLASH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0.28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4"/>
                <w:szCs w:val="14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NVMe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0.22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LOW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SATA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0.22</w:t>
            </w:r>
          </w:p>
        </w:tc>
        <w:tc>
          <w:tcPr>
            <w:tcW w:type="dxa" w:w="1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LOW</w:t>
            </w:r>
          </w:p>
        </w:tc>
      </w:tr>
    </w:tbl>
    <w:p>
      <w:pPr>
        <w:spacing w:after="40" w:before="30"/>
        <w:jc w:val="center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Table 2: MCI Rankings — Red=CRITICAL, Amber=HIGH, Green=MEDIUM</w:t>
      </w:r>
    </w:p>
    <w:p>
      <w:pPr>
        <w:pBdr>
          <w:bottom w:val="single" w:color="D6E4F0" w:sz="2"/>
        </w:pBdr>
        <w:spacing w:after="30" w:before="70"/>
      </w:pP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3.3 Validation Results</w:t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100"/>
        <w:gridCol w:w="1000"/>
        <w:gridCol w:w="1660"/>
      </w:tblGrid>
      <w:t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Release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Changes</w:t>
            </w:r>
          </w:p>
        </w:tc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Precision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Recall</w:t>
            </w:r>
          </w:p>
        </w:tc>
        <w:tc>
          <w:tcPr>
            <w:tcW w:type="dxa" w:w="16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Time Saved (h)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R1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47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93.6%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93.6%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18.5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R2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83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95.2%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95.2%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31.2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R3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62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93.5%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93.5%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24.0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R4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105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95.2%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95.2%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39.8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R5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91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95.6%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95.6%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34.1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4"/>
                <w:szCs w:val="14"/>
              </w:rPr>
              <w:t xml:space="preserve">R6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74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95.9%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95.9%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4"/>
                <w:szCs w:val="14"/>
              </w:rPr>
              <w:t xml:space="preserve">28.7</w:t>
            </w:r>
          </w:p>
        </w:tc>
      </w:tr>
      <w:tr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Avg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77</w:t>
            </w:r>
          </w:p>
        </w:tc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94.8%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94.8%</w:t>
            </w:r>
          </w:p>
        </w:tc>
        <w:tc>
          <w:tcPr>
            <w:tcW w:type="dxa" w:w="16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4"/>
                <w:szCs w:val="14"/>
              </w:rPr>
              <w:t xml:space="preserve">29.4</w:t>
            </w:r>
          </w:p>
        </w:tc>
      </w:tr>
    </w:tbl>
    <w:p>
      <w:pPr>
        <w:spacing w:after="40" w:before="30"/>
        <w:jc w:val="center"/>
      </w:pPr>
      <w:r>
        <w:rPr>
          <w:rFonts w:ascii="Arial" w:cs="Arial" w:eastAsia="Arial" w:hAnsi="Arial"/>
          <w:i/>
          <w:iCs/>
          <w:color w:val="555555"/>
          <w:sz w:val="14"/>
          <w:szCs w:val="14"/>
        </w:rPr>
        <w:t xml:space="preserve">Table 3: Validation across 6 releases (462 total changes)</w:t>
      </w:r>
    </w:p>
    <w:p>
      <w:pPr>
        <w:spacing w:after="40" w:before="4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Average test suite execution time was reduced by 78% vs full regression while maintaining zero CRITICAL/HIGH defect escapes across all releases.</w:t>
      </w:r>
    </w:p>
    <w:p>
      <w:pPr>
        <w:spacing w:after="30" w:before="30"/>
      </w:pPr>
      <w:r>
        <w:rPr>
          <w:sz w:val="8"/>
          <w:szCs w:val="8"/>
        </w:rPr>
        <w:t xml:space="preserve"/>
      </w:r>
    </w:p>
    <w:p>
      <w:pPr>
        <w:pBdr>
          <w:bottom w:val="single" w:color="2E75B6" w:sz="3"/>
        </w:pBdr>
        <w:shd w:fill="1F3864" w:val="clear"/>
        <w:spacing w:after="50" w:before="80"/>
        <w:ind w:left="80" w:right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4. CONCLUSION</w:t>
      </w:r>
    </w:p>
    <w:p>
      <w:pPr>
        <w:spacing w:after="40" w:before="40" w:line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17"/>
          <w:szCs w:val="17"/>
        </w:rPr>
        <w:t xml:space="preserve">ChangeGuard demonstrates that mathematically rigorous DSM analysis, augmented by AI risk scoring and CI/CD integration, can dramatically reduce the test scope identification burden in complex SSD firmware development. The framework's 94.8% precision and 78% time savings translate directly to faster, more confident product releases. Future work will extend analysis to file/function granularity and incorporate dynamic dependency tracing for interrupt-driven and DMA-coupled modules.</w:t>
      </w:r>
    </w:p>
    <w:p>
      <w:pPr>
        <w:spacing w:after="30" w:before="30"/>
      </w:pPr>
      <w:r>
        <w:rPr>
          <w:sz w:val="8"/>
          <w:szCs w:val="8"/>
        </w:rPr>
        <w:t xml:space="preserve"/>
      </w:r>
    </w:p>
    <w:p>
      <w:pPr>
        <w:pBdr>
          <w:bottom w:val="single" w:color="2E75B6" w:sz="3"/>
        </w:pBdr>
        <w:shd w:fill="1F3864" w:val="clear"/>
        <w:spacing w:after="50" w:before="80"/>
        <w:ind w:left="80" w:right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REFERENCES</w:t>
      </w:r>
    </w:p>
    <w:p>
      <w:pPr>
        <w:spacing w:after="25" w:before="25" w:line="220"/>
      </w:pPr>
      <w:r>
        <w:rPr>
          <w:rFonts w:ascii="Arial" w:cs="Arial" w:eastAsia="Arial" w:hAnsi="Arial"/>
          <w:color w:val="222222"/>
          <w:sz w:val="15"/>
          <w:szCs w:val="15"/>
        </w:rPr>
        <w:t xml:space="preserve">[1] Eppinger &amp; Browning, Design Structure Matrix Methods and Applications, MIT Press, 2012.</w:t>
      </w:r>
    </w:p>
    <w:p>
      <w:pPr>
        <w:spacing w:after="25" w:before="25" w:line="220"/>
      </w:pPr>
      <w:r>
        <w:rPr>
          <w:rFonts w:ascii="Arial" w:cs="Arial" w:eastAsia="Arial" w:hAnsi="Arial"/>
          <w:color w:val="222222"/>
          <w:sz w:val="15"/>
          <w:szCs w:val="15"/>
        </w:rPr>
        <w:t xml:space="preserve">[2] MacCormack et al., Exploring Structure of Complex SW Designs, Mgmt. Science 52(7), 2006.</w:t>
      </w:r>
    </w:p>
    <w:p>
      <w:pPr>
        <w:spacing w:after="25" w:before="25" w:line="220"/>
      </w:pPr>
      <w:r>
        <w:rPr>
          <w:rFonts w:ascii="Arial" w:cs="Arial" w:eastAsia="Arial" w:hAnsi="Arial"/>
          <w:color w:val="222222"/>
          <w:sz w:val="15"/>
          <w:szCs w:val="15"/>
        </w:rPr>
        <w:t xml:space="preserve">[3] Witten et al., Predicting Ripple Effects via GNN, IEEE Trans. SW Eng. 47(8), 2021.</w:t>
      </w:r>
    </w:p>
    <w:p>
      <w:pPr>
        <w:spacing w:after="25" w:before="25" w:line="220"/>
      </w:pPr>
      <w:r>
        <w:rPr>
          <w:rFonts w:ascii="Arial" w:cs="Arial" w:eastAsia="Arial" w:hAnsi="Arial"/>
          <w:color w:val="222222"/>
          <w:sz w:val="15"/>
          <w:szCs w:val="15"/>
        </w:rPr>
        <w:t xml:space="preserve">[4] Sangwan et al., Automated SW Architecture Analysis using DSM, IEEE Software 25(5), 2008.</w:t>
      </w:r>
    </w:p>
    <w:p>
      <w:pPr>
        <w:spacing w:after="25" w:before="25" w:line="220"/>
      </w:pPr>
      <w:r>
        <w:rPr>
          <w:rFonts w:ascii="Arial" w:cs="Arial" w:eastAsia="Arial" w:hAnsi="Arial"/>
          <w:color w:val="222222"/>
          <w:sz w:val="15"/>
          <w:szCs w:val="15"/>
        </w:rPr>
        <w:t xml:space="preserve">[5] Zimmermann et al., Mining Version Histories to Guide SW Changes, IEEE TSE 31(6), 2005.</w:t>
      </w:r>
    </w:p>
    <w:p>
      <w:pPr>
        <w:spacing w:after="25" w:before="25" w:line="220"/>
      </w:pPr>
      <w:r>
        <w:rPr>
          <w:rFonts w:ascii="Arial" w:cs="Arial" w:eastAsia="Arial" w:hAnsi="Arial"/>
          <w:color w:val="222222"/>
          <w:sz w:val="15"/>
          <w:szCs w:val="15"/>
        </w:rPr>
        <w:t xml:space="preserve">[6] Kim et al., Test Impact Analysis for Embedded Firmware, ICSE 2023.</w:t>
      </w:r>
    </w:p>
    <w:p>
      <w:pPr>
        <w:spacing w:after="25" w:before="25" w:line="220"/>
      </w:pPr>
      <w:r>
        <w:rPr>
          <w:rFonts w:ascii="Arial" w:cs="Arial" w:eastAsia="Arial" w:hAnsi="Arial"/>
          <w:color w:val="222222"/>
          <w:sz w:val="15"/>
          <w:szCs w:val="15"/>
        </w:rPr>
        <w:t xml:space="preserve">[7] NVM Express Inc., NVMe Base Spec Rev 2.0b, nvmexpress.org, 2022.</w:t>
      </w:r>
    </w:p>
    <w:p>
      <w:pPr>
        <w:spacing w:after="25" w:before="25" w:line="220"/>
      </w:pPr>
      <w:r>
        <w:rPr>
          <w:rFonts w:ascii="Arial" w:cs="Arial" w:eastAsia="Arial" w:hAnsi="Arial"/>
          <w:color w:val="222222"/>
          <w:sz w:val="15"/>
          <w:szCs w:val="15"/>
        </w:rPr>
        <w:t xml:space="preserve">[8] Yaakobi et al., Error Correction for Flash Memory, IEEE Trans. Info. Theory 58(12), 2019.</w:t>
      </w:r>
    </w:p>
    <w:sectPr>
      <w:type w:val="continuous"/>
      <w:pgSz w:w="12240" w:h="15840" w:orient="portrait"/>
      <w:pgMar w:top="0" w:right="936" w:bottom="864" w:left="936" w:header="708" w:footer="708" w:gutter="0"/>
      <w:pgNumType/>
      <w:cols w:space="48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40"/>
    </w:pPr>
    <w:rPr>
      <w:rFonts w:ascii="Arial" w:cs="Arial" w:eastAsia="Arial" w:hAnsi="Arial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2026-04-10T12:29:08.992Z</dcterms:created>
  <dcterms:modified xsi:type="dcterms:W3CDTF">2026-04-10T12:29:08.993Z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