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B8B5F" w14:textId="77777777" w:rsidR="00483425" w:rsidRPr="00483425" w:rsidRDefault="00483425" w:rsidP="00483425">
      <w:r w:rsidRPr="00483425">
        <w:t>I'll design a comprehensive layered AI architecture for memory products validation (</w:t>
      </w:r>
      <w:proofErr w:type="spellStart"/>
      <w:r w:rsidRPr="00483425">
        <w:t>NVMe</w:t>
      </w:r>
      <w:proofErr w:type="spellEnd"/>
      <w:r w:rsidRPr="00483425">
        <w:t>, SATA, eMMC, UFS) that directly addresses all four of your questions. Let me first set up the visualization, then build it out.</w:t>
      </w:r>
    </w:p>
    <w:p w14:paraId="5C1E95CD" w14:textId="77777777" w:rsidR="00483425" w:rsidRPr="00483425" w:rsidRDefault="00483425" w:rsidP="00483425">
      <w:r w:rsidRPr="00483425">
        <w:t>Below is a layered architecture I've designed specifically for memory products validation. I've structured it to address all four of your questions — the first diagram covers the structural view with concrete running instances (Q1, Q3), and the second diagram explicitly maps each business process step to the agents that handle it and the data flowing through (Q2, Q4).</w:t>
      </w:r>
    </w:p>
    <w:p w14:paraId="512E1907" w14:textId="77777777" w:rsidR="00D75906" w:rsidRDefault="00D75906"/>
    <w:p w14:paraId="0AF6AB00" w14:textId="77777777" w:rsidR="00483425" w:rsidRPr="00483425" w:rsidRDefault="00483425" w:rsidP="00483425">
      <w:r w:rsidRPr="00483425">
        <w:t>This addresses Q1 and Q3 directly — the right-most column shows actual deployable named instances (</w:t>
      </w:r>
      <w:proofErr w:type="spellStart"/>
      <w:r w:rsidRPr="00483425">
        <w:t>ValHub</w:t>
      </w:r>
      <w:proofErr w:type="spellEnd"/>
      <w:r w:rsidRPr="00483425">
        <w:t>-Portal, claude-opus-4-7, spec-</w:t>
      </w:r>
      <w:proofErr w:type="spellStart"/>
      <w:r w:rsidRPr="00483425">
        <w:t>vdb</w:t>
      </w:r>
      <w:proofErr w:type="spellEnd"/>
      <w:r w:rsidRPr="00483425">
        <w:t xml:space="preserve">, 8× A100 GPUs, 12× </w:t>
      </w:r>
      <w:proofErr w:type="spellStart"/>
      <w:r w:rsidRPr="00483425">
        <w:t>NVMe</w:t>
      </w:r>
      <w:proofErr w:type="spellEnd"/>
      <w:r w:rsidRPr="00483425">
        <w:t xml:space="preserve"> testers) rather than generic technology categories, so engineers can see exactly what is running. The middle Services column groups instances into capability families. Click any box for a deeper drill-down.</w:t>
      </w:r>
    </w:p>
    <w:p w14:paraId="63FD53B1" w14:textId="340ADFAA" w:rsidR="00483425" w:rsidRDefault="00483425" w:rsidP="00483425">
      <w:r w:rsidRPr="00483425">
        <w:t>Now the second diagram makes the connection to actual validation work explicit — every business process step is mapped to the agent that executes it and the data that flows through:</w:t>
      </w:r>
    </w:p>
    <w:p w14:paraId="7AAB1A59" w14:textId="77777777" w:rsidR="00483425" w:rsidRDefault="00483425" w:rsidP="00483425"/>
    <w:p w14:paraId="62308598" w14:textId="77777777" w:rsidR="00483425" w:rsidRPr="00483425" w:rsidRDefault="00483425" w:rsidP="00483425">
      <w:r w:rsidRPr="00483425">
        <w:t xml:space="preserve">This second diagram closes the loop on </w:t>
      </w:r>
      <w:r w:rsidRPr="00483425">
        <w:rPr>
          <w:b/>
          <w:bCs/>
        </w:rPr>
        <w:t>Q2 and Q4</w:t>
      </w:r>
      <w:r w:rsidRPr="00483425">
        <w:t xml:space="preserve"> — the purple agent column sits between the business process (left) and the data flow (right), so each capability has a clear "who runs it, what it eats, what it produces" line. The 8 agents introduced in the first diagram now have explicit owners across the 5 validation stages: </w:t>
      </w:r>
      <w:r w:rsidRPr="00483425">
        <w:rPr>
          <w:b/>
          <w:bCs/>
        </w:rPr>
        <w:t xml:space="preserve">Plan → Setup → Run → </w:t>
      </w:r>
      <w:proofErr w:type="spellStart"/>
      <w:r w:rsidRPr="00483425">
        <w:rPr>
          <w:b/>
          <w:bCs/>
        </w:rPr>
        <w:t>Analyze</w:t>
      </w:r>
      <w:proofErr w:type="spellEnd"/>
      <w:r w:rsidRPr="00483425">
        <w:rPr>
          <w:b/>
          <w:bCs/>
        </w:rPr>
        <w:t xml:space="preserve"> → Report</w:t>
      </w:r>
      <w:r w:rsidRPr="00483425">
        <w:t xml:space="preserve">, which is the universal flow whether the DUT is </w:t>
      </w:r>
      <w:proofErr w:type="spellStart"/>
      <w:r w:rsidRPr="00483425">
        <w:t>NVMe</w:t>
      </w:r>
      <w:proofErr w:type="spellEnd"/>
      <w:r w:rsidRPr="00483425">
        <w:t xml:space="preserve">, SATA, eMMC, or UFS. Protocol differences live inside the agents (e.g., </w:t>
      </w:r>
      <w:proofErr w:type="spellStart"/>
      <w:r w:rsidRPr="00483425">
        <w:t>TestPlan</w:t>
      </w:r>
      <w:proofErr w:type="spellEnd"/>
      <w:r w:rsidRPr="00483425">
        <w:t xml:space="preserve">-Gen selects JEDEC eMMC 5.1 vs JESD220 UFS 4.0 vs </w:t>
      </w:r>
      <w:proofErr w:type="spellStart"/>
      <w:r w:rsidRPr="00483425">
        <w:t>NVMe</w:t>
      </w:r>
      <w:proofErr w:type="spellEnd"/>
      <w:r w:rsidRPr="00483425">
        <w:t xml:space="preserve"> 2.0 spec packs), not as separate pipelines.</w:t>
      </w:r>
    </w:p>
    <w:p w14:paraId="7A81F846" w14:textId="77777777" w:rsidR="00483425" w:rsidRPr="00483425" w:rsidRDefault="00483425" w:rsidP="00483425">
      <w:r w:rsidRPr="00483425">
        <w:t>Mapping back to the four questionnaires:</w:t>
      </w:r>
    </w:p>
    <w:p w14:paraId="671E9063" w14:textId="77777777" w:rsidR="00483425" w:rsidRPr="00483425" w:rsidRDefault="00483425" w:rsidP="00483425">
      <w:r w:rsidRPr="00483425">
        <w:rPr>
          <w:b/>
          <w:bCs/>
        </w:rPr>
        <w:t>Q1 — Structure all AI initiatives.</w:t>
      </w:r>
      <w:r w:rsidRPr="00483425">
        <w:t xml:space="preserve"> Diagram 1 organizes every initiative into the 5 canonical layers (Experience, Orchestration, Model, Data, Infra) so nothing is orphaned and new initiatives have a clear home.</w:t>
      </w:r>
    </w:p>
    <w:p w14:paraId="1A9602A7" w14:textId="77777777" w:rsidR="00483425" w:rsidRPr="00483425" w:rsidRDefault="00483425" w:rsidP="00483425">
      <w:r w:rsidRPr="00483425">
        <w:rPr>
          <w:b/>
          <w:bCs/>
        </w:rPr>
        <w:t>Q2 — Agents, biz-process linkage, data in/out.</w:t>
      </w:r>
      <w:r w:rsidRPr="00483425">
        <w:t xml:space="preserve"> Diagram 2 names all 8 agents (</w:t>
      </w:r>
      <w:proofErr w:type="spellStart"/>
      <w:r w:rsidRPr="00483425">
        <w:t>TestPlan</w:t>
      </w:r>
      <w:proofErr w:type="spellEnd"/>
      <w:r w:rsidRPr="00483425">
        <w:t xml:space="preserve">-Gen, Spec-QA, </w:t>
      </w:r>
      <w:proofErr w:type="spellStart"/>
      <w:r w:rsidRPr="00483425">
        <w:t>TestScript</w:t>
      </w:r>
      <w:proofErr w:type="spellEnd"/>
      <w:r w:rsidRPr="00483425">
        <w:t xml:space="preserve">-Gen, Env-Config, </w:t>
      </w:r>
      <w:proofErr w:type="spellStart"/>
      <w:r w:rsidRPr="00483425">
        <w:t>TestRun</w:t>
      </w:r>
      <w:proofErr w:type="spellEnd"/>
      <w:r w:rsidRPr="00483425">
        <w:t xml:space="preserve">-Orch, Log-Analyst, Failure-Triage, Report-Gen + </w:t>
      </w:r>
      <w:proofErr w:type="spellStart"/>
      <w:r w:rsidRPr="00483425">
        <w:t>PerfBench</w:t>
      </w:r>
      <w:proofErr w:type="spellEnd"/>
      <w:r w:rsidRPr="00483425">
        <w:t xml:space="preserve"> + Compliance), pins each to a stage of the validation lifecycle, and shows the data each consumes (green) and produces (coral).</w:t>
      </w:r>
    </w:p>
    <w:p w14:paraId="07F08E99" w14:textId="77777777" w:rsidR="00483425" w:rsidRPr="00483425" w:rsidRDefault="00483425" w:rsidP="00483425">
      <w:r w:rsidRPr="00483425">
        <w:rPr>
          <w:b/>
          <w:bCs/>
        </w:rPr>
        <w:t>Q3 — Show running instances, not technology.</w:t>
      </w:r>
      <w:r w:rsidRPr="00483425">
        <w:t xml:space="preserve"> The right column of Diagram 1 deliberately swaps generic terms ("Vector DB", "GPU/CPU", "LLM") for the actual </w:t>
      </w:r>
      <w:r w:rsidRPr="00483425">
        <w:lastRenderedPageBreak/>
        <w:t>deployable instances an engineer will see in production: claude-opus-4-7, spec-</w:t>
      </w:r>
      <w:proofErr w:type="spellStart"/>
      <w:r w:rsidRPr="00483425">
        <w:t>vdb</w:t>
      </w:r>
      <w:proofErr w:type="spellEnd"/>
      <w:r w:rsidRPr="00483425">
        <w:t>, perf-</w:t>
      </w:r>
      <w:proofErr w:type="spellStart"/>
      <w:r w:rsidRPr="00483425">
        <w:t>tsdb</w:t>
      </w:r>
      <w:proofErr w:type="spellEnd"/>
      <w:r w:rsidRPr="00483425">
        <w:t xml:space="preserve">, 12× </w:t>
      </w:r>
      <w:proofErr w:type="spellStart"/>
      <w:r w:rsidRPr="00483425">
        <w:t>NVMe</w:t>
      </w:r>
      <w:proofErr w:type="spellEnd"/>
      <w:r w:rsidRPr="00483425">
        <w:t xml:space="preserve"> testers, 8× A100 GPUs. Anyone joining the team can locate the exact running thing.</w:t>
      </w:r>
    </w:p>
    <w:p w14:paraId="329B3376" w14:textId="77777777" w:rsidR="00483425" w:rsidRPr="00483425" w:rsidRDefault="00483425" w:rsidP="00483425">
      <w:r w:rsidRPr="00483425">
        <w:rPr>
          <w:b/>
          <w:bCs/>
        </w:rPr>
        <w:t>Q4 — Connect capability to actual work.</w:t>
      </w:r>
      <w:r w:rsidRPr="00483425">
        <w:t xml:space="preserve"> Diagram 2 reads left-to-right as "this is the validation step we already do today → this is the agent that now does (or assists) it → this is the artifact it generates that the next step consumes." There is no abstract "capability" floating without an owner.</w:t>
      </w:r>
    </w:p>
    <w:p w14:paraId="07121255" w14:textId="77777777" w:rsidR="00483425" w:rsidRPr="00483425" w:rsidRDefault="00483425" w:rsidP="00483425">
      <w:r w:rsidRPr="00483425">
        <w:t>Where would you like to go next — drill into any agent's internal design (prompts, tools, memory), add the data-flow arrows between layers in Diagram 1, or sketch a phased rollout (which agents to build in Q1 vs Q2 vs Q3)?</w:t>
      </w:r>
    </w:p>
    <w:p w14:paraId="658CE97D" w14:textId="77777777" w:rsidR="00483425" w:rsidRDefault="00483425" w:rsidP="00483425"/>
    <w:sectPr w:rsidR="004834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425"/>
    <w:rsid w:val="00241082"/>
    <w:rsid w:val="00483425"/>
    <w:rsid w:val="00C06752"/>
    <w:rsid w:val="00D75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39804"/>
  <w15:chartTrackingRefBased/>
  <w15:docId w15:val="{AD21D261-C41A-4A57-B498-B7724408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425"/>
    <w:rPr>
      <w:rFonts w:eastAsiaTheme="majorEastAsia" w:cstheme="majorBidi"/>
      <w:color w:val="272727" w:themeColor="text1" w:themeTint="D8"/>
    </w:rPr>
  </w:style>
  <w:style w:type="paragraph" w:styleId="Title">
    <w:name w:val="Title"/>
    <w:basedOn w:val="Normal"/>
    <w:next w:val="Normal"/>
    <w:link w:val="TitleChar"/>
    <w:uiPriority w:val="10"/>
    <w:qFormat/>
    <w:rsid w:val="00483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425"/>
    <w:pPr>
      <w:spacing w:before="160"/>
      <w:jc w:val="center"/>
    </w:pPr>
    <w:rPr>
      <w:i/>
      <w:iCs/>
      <w:color w:val="404040" w:themeColor="text1" w:themeTint="BF"/>
    </w:rPr>
  </w:style>
  <w:style w:type="character" w:customStyle="1" w:styleId="QuoteChar">
    <w:name w:val="Quote Char"/>
    <w:basedOn w:val="DefaultParagraphFont"/>
    <w:link w:val="Quote"/>
    <w:uiPriority w:val="29"/>
    <w:rsid w:val="00483425"/>
    <w:rPr>
      <w:i/>
      <w:iCs/>
      <w:color w:val="404040" w:themeColor="text1" w:themeTint="BF"/>
    </w:rPr>
  </w:style>
  <w:style w:type="paragraph" w:styleId="ListParagraph">
    <w:name w:val="List Paragraph"/>
    <w:basedOn w:val="Normal"/>
    <w:uiPriority w:val="34"/>
    <w:qFormat/>
    <w:rsid w:val="00483425"/>
    <w:pPr>
      <w:ind w:left="720"/>
      <w:contextualSpacing/>
    </w:pPr>
  </w:style>
  <w:style w:type="character" w:styleId="IntenseEmphasis">
    <w:name w:val="Intense Emphasis"/>
    <w:basedOn w:val="DefaultParagraphFont"/>
    <w:uiPriority w:val="21"/>
    <w:qFormat/>
    <w:rsid w:val="00483425"/>
    <w:rPr>
      <w:i/>
      <w:iCs/>
      <w:color w:val="0F4761" w:themeColor="accent1" w:themeShade="BF"/>
    </w:rPr>
  </w:style>
  <w:style w:type="paragraph" w:styleId="IntenseQuote">
    <w:name w:val="Intense Quote"/>
    <w:basedOn w:val="Normal"/>
    <w:next w:val="Normal"/>
    <w:link w:val="IntenseQuoteChar"/>
    <w:uiPriority w:val="30"/>
    <w:qFormat/>
    <w:rsid w:val="00483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425"/>
    <w:rPr>
      <w:i/>
      <w:iCs/>
      <w:color w:val="0F4761" w:themeColor="accent1" w:themeShade="BF"/>
    </w:rPr>
  </w:style>
  <w:style w:type="character" w:styleId="IntenseReference">
    <w:name w:val="Intense Reference"/>
    <w:basedOn w:val="DefaultParagraphFont"/>
    <w:uiPriority w:val="32"/>
    <w:qFormat/>
    <w:rsid w:val="00483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Atmakuri</dc:creator>
  <cp:keywords/>
  <dc:description/>
  <cp:lastModifiedBy>Satish Atmakuri</cp:lastModifiedBy>
  <cp:revision>1</cp:revision>
  <dcterms:created xsi:type="dcterms:W3CDTF">2026-05-07T03:51:00Z</dcterms:created>
  <dcterms:modified xsi:type="dcterms:W3CDTF">2026-05-07T03:56:00Z</dcterms:modified>
</cp:coreProperties>
</file>