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Processing Addendum</w:t>
      </w:r>
    </w:p>
    <w:p>
      <w:r>
        <w:rPr>
          <w:i/>
          <w:color w:val="5B6478"/>
        </w:rPr>
        <w:t>Aldermoor Technologies Ltd. as processor — version 3.1</w:t>
      </w:r>
    </w:p>
    <w:p>
      <w:r>
        <w:t>This addendum is a synthetic sample created for testing. It is not legal advice and has no force.</w:t>
      </w:r>
    </w:p>
    <w:p>
      <w:pPr>
        <w:pStyle w:val="Heading1"/>
      </w:pPr>
      <w:r>
        <w:t>1. Roles</w:t>
      </w:r>
    </w:p>
    <w:p>
      <w:r>
        <w:t>For personal data contained in Customer Data, the Customer is the controller and Aldermoor is the processor. Aldermoor processes such personal data only on the Customer's documented instructions, which include the instruction to provide the Platform in accordance with the agreement.</w:t>
      </w:r>
    </w:p>
    <w:p>
      <w:pPr>
        <w:pStyle w:val="Heading1"/>
      </w:pPr>
      <w:r>
        <w:t>2. Categories of data</w:t>
      </w:r>
    </w:p>
    <w:tbl>
      <w:tblPr>
        <w:tblStyle w:val="LightGrid-Accent1"/>
        <w:tblW w:type="auto" w:w="0"/>
        <w:tblLook w:firstColumn="1" w:firstRow="1" w:lastColumn="0" w:lastRow="0" w:noHBand="0" w:noVBand="1" w:val="04A0"/>
      </w:tblPr>
      <w:tblGrid>
        <w:gridCol w:w="4320"/>
        <w:gridCol w:w="4320"/>
      </w:tblGrid>
      <w:tr>
        <w:tc>
          <w:tcPr>
            <w:tcW w:type="dxa" w:w="4320"/>
          </w:tcPr>
          <w:p>
            <w:r>
              <w:rPr>
                <w:b/>
              </w:rPr>
              <w:t>Category of data subject</w:t>
            </w:r>
          </w:p>
        </w:tc>
        <w:tc>
          <w:tcPr>
            <w:tcW w:type="dxa" w:w="4320"/>
          </w:tcPr>
          <w:p>
            <w:r>
              <w:rPr>
                <w:b/>
              </w:rPr>
              <w:t>Personal data processed</w:t>
            </w:r>
          </w:p>
        </w:tc>
      </w:tr>
      <w:tr>
        <w:tc>
          <w:tcPr>
            <w:tcW w:type="dxa" w:w="4320"/>
          </w:tcPr>
          <w:p>
            <w:r>
              <w:t>Customer's field technicians</w:t>
            </w:r>
          </w:p>
        </w:tc>
        <w:tc>
          <w:tcPr>
            <w:tcW w:type="dxa" w:w="4320"/>
          </w:tcPr>
          <w:p>
            <w:r>
              <w:t>Name, work email, work telephone, employee reference, skills and certifications, working time, device location while on shift</w:t>
            </w:r>
          </w:p>
        </w:tc>
      </w:tr>
      <w:tr>
        <w:tc>
          <w:tcPr>
            <w:tcW w:type="dxa" w:w="4320"/>
          </w:tcPr>
          <w:p>
            <w:r>
              <w:t>Customer's office staff</w:t>
            </w:r>
          </w:p>
        </w:tc>
        <w:tc>
          <w:tcPr>
            <w:tcW w:type="dxa" w:w="4320"/>
          </w:tcPr>
          <w:p>
            <w:r>
              <w:t>Name, work email, role, authentication identifiers, audit log entries</w:t>
            </w:r>
          </w:p>
        </w:tc>
      </w:tr>
      <w:tr>
        <w:tc>
          <w:tcPr>
            <w:tcW w:type="dxa" w:w="4320"/>
          </w:tcPr>
          <w:p>
            <w:r>
              <w:t>Customer's own end customers</w:t>
            </w:r>
          </w:p>
        </w:tc>
        <w:tc>
          <w:tcPr>
            <w:tcW w:type="dxa" w:w="4320"/>
          </w:tcPr>
          <w:p>
            <w:r>
              <w:t>Name, service address, contact telephone, contact email, appointment history, signature captured at job completion</w:t>
            </w:r>
          </w:p>
        </w:tc>
      </w:tr>
    </w:tbl>
    <w:p/>
    <w:p>
      <w:pPr>
        <w:pStyle w:val="Heading1"/>
      </w:pPr>
      <w:r>
        <w:t>3. Purpose and duration</w:t>
      </w:r>
    </w:p>
    <w:p>
      <w:r>
        <w:t>Personal data is processed for the purpose of scheduling, dispatching, executing and evidencing field work, and for producing operational reporting for the Customer. Processing continues for the duration of the agreement and the retention periods that follow it.</w:t>
      </w:r>
    </w:p>
    <w:p>
      <w:pPr>
        <w:pStyle w:val="Heading1"/>
      </w:pPr>
      <w:r>
        <w:t>4. Location tracking</w:t>
      </w:r>
    </w:p>
    <w:p>
      <w:r>
        <w:t>Relay Mobile records device location while a technician is on an active shift, in order to support scheduling, travel measurement and lone-worker safety. Location is not recorded outside shift hours. The Customer is responsible for informing its technicians of this processing and for establishing a lawful basis for it.</w:t>
      </w:r>
    </w:p>
    <w:p>
      <w:pPr>
        <w:pStyle w:val="ListBullet"/>
      </w:pPr>
      <w:r>
        <w:t>Location sampling frequency is configurable by the Customer between 1 and 15 minutes.</w:t>
      </w:r>
    </w:p>
    <w:p>
      <w:pPr>
        <w:pStyle w:val="ListBullet"/>
      </w:pPr>
      <w:r>
        <w:t>Location history retention is configurable between 30 and 400 days.</w:t>
      </w:r>
    </w:p>
    <w:p>
      <w:pPr>
        <w:pStyle w:val="ListBullet"/>
      </w:pPr>
      <w:r>
        <w:t>Location recording can be disabled entirely at the tenant level.</w:t>
      </w:r>
    </w:p>
    <w:p>
      <w:pPr>
        <w:pStyle w:val="Heading1"/>
      </w:pPr>
      <w:r>
        <w:t>5. Security measures</w:t>
      </w:r>
    </w:p>
    <w:p>
      <w:r>
        <w:t>Aldermoor implements the technical and organisational measures described in the Security and Compliance Overview, including encryption in transit and at rest, role-based access control, time-bounded and logged staff access, annual penetration testing and a rehearsed incident response plan.</w:t>
      </w:r>
    </w:p>
    <w:p>
      <w:pPr>
        <w:pStyle w:val="Heading1"/>
      </w:pPr>
      <w:r>
        <w:t>6. Sub-processors</w:t>
      </w:r>
    </w:p>
    <w:p>
      <w:r>
        <w:t>The Customer gives general authorisation for Aldermoor to engage sub-processors. The current list is published in the Security and Compliance Overview. Aldermoor gives at least 30 days' notice before adding a sub-processor, during which the Customer may object on reasonable grounds relating to data protection.</w:t>
      </w:r>
    </w:p>
    <w:p>
      <w:pPr>
        <w:pStyle w:val="Heading1"/>
      </w:pPr>
      <w:r>
        <w:t>7. International transfers</w:t>
      </w:r>
    </w:p>
    <w:p>
      <w:r>
        <w:t>Customer Data is stored in the region selected at provisioning. Where support requires access from another country, that access takes place under the UK International Data Transfer Addendum or the EU Standard Contractual Clauses as applicable, and is limited to what is necessary to resolve the matter at hand.</w:t>
      </w:r>
    </w:p>
    <w:p>
      <w:pPr>
        <w:pStyle w:val="Heading1"/>
      </w:pPr>
      <w:r>
        <w:t>8. Assistance to the controller</w:t>
      </w:r>
    </w:p>
    <w:p>
      <w:pPr>
        <w:pStyle w:val="ListBullet"/>
      </w:pPr>
      <w:r>
        <w:t>Aldermoor assists the Customer in responding to data subject requests, using the Platform's own export and deletion tools where possible.</w:t>
      </w:r>
    </w:p>
    <w:p>
      <w:pPr>
        <w:pStyle w:val="ListBullet"/>
      </w:pPr>
      <w:r>
        <w:t>Aldermoor assists with data protection impact assessments on request.</w:t>
      </w:r>
    </w:p>
    <w:p>
      <w:pPr>
        <w:pStyle w:val="ListBullet"/>
      </w:pPr>
      <w:r>
        <w:t>Aldermoor notifies the Customer of a confirmed personal data breach without undue delay and within 72 hours of confirmation.</w:t>
      </w:r>
    </w:p>
    <w:p>
      <w:pPr>
        <w:pStyle w:val="Heading1"/>
      </w:pPr>
      <w:r>
        <w:t>9. Audit</w:t>
      </w:r>
    </w:p>
    <w:p>
      <w:r>
        <w:t>Aldermoor makes available its ISO 27001 certificate, SOC 2 Type II report and penetration test summary to demonstrate compliance. Where these do not satisfy a Customer's regulator, an on-site audit may be arranged once per year with 30 days' notice, at the Customer's cost.</w:t>
      </w:r>
    </w:p>
    <w:p>
      <w:pPr>
        <w:pStyle w:val="Heading1"/>
      </w:pPr>
      <w:r>
        <w:t>10. Deletion and return</w:t>
      </w:r>
    </w:p>
    <w:p>
      <w:r>
        <w:t>On termination, Customer Data is retrievable for 90 days, deleted from production within 30 days thereafter, and removed from backups within a further 35 days. A certificate of deletion is available on request.</w:t>
      </w:r>
    </w:p>
    <w:p>
      <w:r>
        <w:rPr>
          <w:i/>
          <w:color w:val="8A93A6"/>
          <w:sz w:val="16"/>
        </w:rPr>
        <w:t>Aldermoor Technologies — www.aldermoor.example. This document describes a company that does not exist and is provided as sample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Processing Addendum</dc:title>
  <dc:subject/>
  <dc:creator>Aldermoor Technologies</dc:creator>
  <cp:keywords/>
  <dc:description>Synthetic sample data — this company does not exist.</dc:description>
  <cp:lastModifiedBy/>
  <cp:revision>1</cp:revision>
  <dcterms:created xsi:type="dcterms:W3CDTF">2013-12-23T23:15:00Z</dcterms:created>
  <dcterms:modified xsi:type="dcterms:W3CDTF">2013-12-23T23:15:00Z</dcterms:modified>
  <cp:category/>
</cp:coreProperties>
</file>