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Feature Engineering Report</w:t>
      </w:r>
    </w:p>
    <w:p>
      <w:pPr>
        <w:jc w:val="center"/>
      </w:pPr>
      <w:r>
        <w:rPr>
          <w:sz w:val="21"/>
        </w:rPr>
        <w:t>Project: Banking Customer Churn Prediction System</w:t>
        <w:br/>
        <w:t>Dataset: banking_customer_churn_50000.csv</w:t>
      </w:r>
    </w:p>
    <w:p/>
    <w:p>
      <w:pPr>
        <w:pStyle w:val="Heading1"/>
      </w:pPr>
      <w:r>
        <w:t>1. Objective</w:t>
      </w:r>
    </w:p>
    <w:p>
      <w:r>
        <w:t>The objective of feature engineering is to transform the raw banking customer dataset into a numerical and standardized feature matrix suitable for machine learning while preserving the business meaning of customer churn.</w:t>
      </w:r>
    </w:p>
    <w:p>
      <w:pPr>
        <w:pStyle w:val="Heading1"/>
      </w:pPr>
      <w:r>
        <w:t>2. Feature Selection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sz w:val="18"/>
              </w:rPr>
              <w:t>Column</w:t>
            </w:r>
          </w:p>
        </w:tc>
        <w:tc>
          <w:tcPr>
            <w:tcW w:type="dxa" w:w="3312"/>
            <w:vAlign w:val="center"/>
          </w:tcPr>
          <w:p>
            <w:r>
              <w:rPr>
                <w:b/>
                <w:sz w:val="18"/>
              </w:rPr>
              <w:t>Action</w:t>
            </w:r>
          </w:p>
        </w:tc>
        <w:tc>
          <w:tcPr>
            <w:tcW w:type="dxa" w:w="3312"/>
            <w:vAlign w:val="center"/>
          </w:tcPr>
          <w:p>
            <w:r>
              <w:rPr>
                <w:b/>
                <w:sz w:val="18"/>
              </w:rPr>
              <w:t>Reason</w:t>
            </w:r>
          </w:p>
        </w:tc>
      </w:tr>
      <w:tr>
        <w:tc>
          <w:tcPr>
            <w:tcW w:type="dxa" w:w="3312"/>
            <w:vAlign w:val="center"/>
          </w:tcPr>
          <w:p>
            <w:r>
              <w:rPr>
                <w:b w:val="0"/>
                <w:sz w:val="18"/>
              </w:rPr>
              <w:t>Customer_ID</w:t>
            </w:r>
          </w:p>
        </w:tc>
        <w:tc>
          <w:tcPr>
            <w:tcW w:type="dxa" w:w="3312"/>
            <w:vAlign w:val="center"/>
          </w:tcPr>
          <w:p>
            <w:r>
              <w:rPr>
                <w:b w:val="0"/>
                <w:sz w:val="18"/>
              </w:rPr>
              <w:t>Removed</w:t>
            </w:r>
          </w:p>
        </w:tc>
        <w:tc>
          <w:tcPr>
            <w:tcW w:type="dxa" w:w="3312"/>
            <w:vAlign w:val="center"/>
          </w:tcPr>
          <w:p>
            <w:r>
              <w:rPr>
                <w:b w:val="0"/>
                <w:sz w:val="18"/>
              </w:rPr>
              <w:t>Unique customer identifier; no predictive value.</w:t>
            </w:r>
          </w:p>
        </w:tc>
      </w:tr>
      <w:tr>
        <w:tc>
          <w:tcPr>
            <w:tcW w:type="dxa" w:w="3312"/>
            <w:vAlign w:val="center"/>
          </w:tcPr>
          <w:p>
            <w:r>
              <w:rPr>
                <w:b w:val="0"/>
                <w:sz w:val="18"/>
              </w:rPr>
              <w:t>Churn</w:t>
            </w:r>
          </w:p>
        </w:tc>
        <w:tc>
          <w:tcPr>
            <w:tcW w:type="dxa" w:w="3312"/>
            <w:vAlign w:val="center"/>
          </w:tcPr>
          <w:p>
            <w:r>
              <w:rPr>
                <w:b w:val="0"/>
                <w:sz w:val="18"/>
              </w:rPr>
              <w:t>Target</w:t>
            </w:r>
          </w:p>
        </w:tc>
        <w:tc>
          <w:tcPr>
            <w:tcW w:type="dxa" w:w="3312"/>
            <w:vAlign w:val="center"/>
          </w:tcPr>
          <w:p>
            <w:r>
              <w:rPr>
                <w:b w:val="0"/>
                <w:sz w:val="18"/>
              </w:rPr>
              <w:t>Binary target variable; excluded from X.</w:t>
            </w:r>
          </w:p>
        </w:tc>
      </w:tr>
    </w:tbl>
    <w:p>
      <w:pPr>
        <w:pStyle w:val="Heading1"/>
      </w:pPr>
      <w:r>
        <w:t>3. Data Cleaning</w:t>
      </w:r>
    </w:p>
    <w:p>
      <w:r>
        <w:t>Invalid symbols (?, @, #, %) were converted to missing values. Categorical missing values were imputed using the mode, while numerical missing values were imputed using the median.</w:t>
      </w:r>
    </w:p>
    <w:p>
      <w:pPr>
        <w:pStyle w:val="Heading1"/>
      </w:pPr>
      <w:r>
        <w:t>4. Encoding Strategy</w:t>
      </w:r>
    </w:p>
    <w:p>
      <w:r>
        <w:t>Machine learning algorithms require numerical inputs. Categorical banking attributes were converted into numerical labels using LabelEncoder in the standardized notebook. The target Churn was also encoded into binary values, where 1 represents Yes and 0 represents No.</w:t>
      </w:r>
    </w:p>
    <w:p>
      <w:r>
        <w:t>Note: Label encoding is consistent with the current standardized notebook. For a production pipeline, One-Hot Encoding or a fitted preprocessing pipeline can be preferred for nominal features to avoid imposing artificial ordinal relationships.</w:t>
      </w:r>
    </w:p>
    <w:p>
      <w:pPr>
        <w:pStyle w:val="Heading1"/>
      </w:pPr>
      <w:r>
        <w:t>5. Outlier Handling</w:t>
      </w:r>
    </w:p>
    <w:p>
      <w:r>
        <w:t>Outliers were detected in selected numerical financial and activity variables using the Interquartile Range (IQR) method. Instead of deleting customer records, values outside the IQR bounds were capped at the lower and upper limits. This preserves customer records while reducing the effect of extreme observations.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sz w:val="18"/>
              </w:rPr>
              <w:t>Feature</w:t>
            </w:r>
          </w:p>
        </w:tc>
        <w:tc>
          <w:tcPr>
            <w:tcW w:type="dxa" w:w="4968"/>
            <w:vAlign w:val="center"/>
          </w:tcPr>
          <w:p>
            <w:r>
              <w:rPr>
                <w:b/>
                <w:sz w:val="18"/>
              </w:rPr>
              <w:t>IQR Outliers Detected</w:t>
            </w:r>
          </w:p>
        </w:tc>
      </w:tr>
      <w:tr>
        <w:tc>
          <w:tcPr>
            <w:tcW w:type="dxa" w:w="4968"/>
            <w:vAlign w:val="center"/>
          </w:tcPr>
          <w:p>
            <w:r>
              <w:rPr>
                <w:b w:val="0"/>
                <w:sz w:val="18"/>
              </w:rPr>
              <w:t>Account_Balance</w:t>
            </w:r>
          </w:p>
        </w:tc>
        <w:tc>
          <w:tcPr>
            <w:tcW w:type="dxa" w:w="4968"/>
            <w:vAlign w:val="center"/>
          </w:tcPr>
          <w:p>
            <w:r>
              <w:rPr>
                <w:b w:val="0"/>
                <w:sz w:val="18"/>
              </w:rPr>
              <w:t>3907</w:t>
            </w:r>
          </w:p>
        </w:tc>
      </w:tr>
      <w:tr>
        <w:tc>
          <w:tcPr>
            <w:tcW w:type="dxa" w:w="4968"/>
            <w:vAlign w:val="center"/>
          </w:tcPr>
          <w:p>
            <w:r>
              <w:rPr>
                <w:b w:val="0"/>
                <w:sz w:val="18"/>
              </w:rPr>
              <w:t>Debt_to_Income</w:t>
            </w:r>
          </w:p>
        </w:tc>
        <w:tc>
          <w:tcPr>
            <w:tcW w:type="dxa" w:w="4968"/>
            <w:vAlign w:val="center"/>
          </w:tcPr>
          <w:p>
            <w:r>
              <w:rPr>
                <w:b w:val="0"/>
                <w:sz w:val="18"/>
              </w:rPr>
              <w:t>3542</w:t>
            </w:r>
          </w:p>
        </w:tc>
      </w:tr>
      <w:tr>
        <w:tc>
          <w:tcPr>
            <w:tcW w:type="dxa" w:w="4968"/>
            <w:vAlign w:val="center"/>
          </w:tcPr>
          <w:p>
            <w:r>
              <w:rPr>
                <w:b w:val="0"/>
                <w:sz w:val="18"/>
              </w:rPr>
              <w:t>Credit_Card_Spend</w:t>
            </w:r>
          </w:p>
        </w:tc>
        <w:tc>
          <w:tcPr>
            <w:tcW w:type="dxa" w:w="4968"/>
            <w:vAlign w:val="center"/>
          </w:tcPr>
          <w:p>
            <w:r>
              <w:rPr>
                <w:b w:val="0"/>
                <w:sz w:val="18"/>
              </w:rPr>
              <w:t>2706</w:t>
            </w:r>
          </w:p>
        </w:tc>
      </w:tr>
      <w:tr>
        <w:tc>
          <w:tcPr>
            <w:tcW w:type="dxa" w:w="4968"/>
            <w:vAlign w:val="center"/>
          </w:tcPr>
          <w:p>
            <w:r>
              <w:rPr>
                <w:b w:val="0"/>
                <w:sz w:val="18"/>
              </w:rPr>
              <w:t>Monthly_EMI</w:t>
            </w:r>
          </w:p>
        </w:tc>
        <w:tc>
          <w:tcPr>
            <w:tcW w:type="dxa" w:w="4968"/>
            <w:vAlign w:val="center"/>
          </w:tcPr>
          <w:p>
            <w:r>
              <w:rPr>
                <w:b w:val="0"/>
                <w:sz w:val="18"/>
              </w:rPr>
              <w:t>2527</w:t>
            </w:r>
          </w:p>
        </w:tc>
      </w:tr>
      <w:tr>
        <w:tc>
          <w:tcPr>
            <w:tcW w:type="dxa" w:w="4968"/>
            <w:vAlign w:val="center"/>
          </w:tcPr>
          <w:p>
            <w:r>
              <w:rPr>
                <w:b w:val="0"/>
                <w:sz w:val="18"/>
              </w:rPr>
              <w:t>Last_Transaction_Days</w:t>
            </w:r>
          </w:p>
        </w:tc>
        <w:tc>
          <w:tcPr>
            <w:tcW w:type="dxa" w:w="4968"/>
            <w:vAlign w:val="center"/>
          </w:tcPr>
          <w:p>
            <w:r>
              <w:rPr>
                <w:b w:val="0"/>
                <w:sz w:val="18"/>
              </w:rPr>
              <w:t>2438</w:t>
            </w:r>
          </w:p>
        </w:tc>
      </w:tr>
      <w:tr>
        <w:tc>
          <w:tcPr>
            <w:tcW w:type="dxa" w:w="4968"/>
            <w:vAlign w:val="center"/>
          </w:tcPr>
          <w:p>
            <w:r>
              <w:rPr>
                <w:b w:val="0"/>
                <w:sz w:val="18"/>
              </w:rPr>
              <w:t>Loan_Amount</w:t>
            </w:r>
          </w:p>
        </w:tc>
        <w:tc>
          <w:tcPr>
            <w:tcW w:type="dxa" w:w="4968"/>
            <w:vAlign w:val="center"/>
          </w:tcPr>
          <w:p>
            <w:r>
              <w:rPr>
                <w:b w:val="0"/>
                <w:sz w:val="18"/>
              </w:rPr>
              <w:t>2351</w:t>
            </w:r>
          </w:p>
        </w:tc>
      </w:tr>
      <w:tr>
        <w:tc>
          <w:tcPr>
            <w:tcW w:type="dxa" w:w="4968"/>
            <w:vAlign w:val="center"/>
          </w:tcPr>
          <w:p>
            <w:r>
              <w:rPr>
                <w:b w:val="0"/>
                <w:sz w:val="18"/>
              </w:rPr>
              <w:t>Annual_Income</w:t>
            </w:r>
          </w:p>
        </w:tc>
        <w:tc>
          <w:tcPr>
            <w:tcW w:type="dxa" w:w="4968"/>
            <w:vAlign w:val="center"/>
          </w:tcPr>
          <w:p>
            <w:r>
              <w:rPr>
                <w:b w:val="0"/>
                <w:sz w:val="18"/>
              </w:rPr>
              <w:t>2204</w:t>
            </w:r>
          </w:p>
        </w:tc>
      </w:tr>
      <w:tr>
        <w:tc>
          <w:tcPr>
            <w:tcW w:type="dxa" w:w="4968"/>
            <w:vAlign w:val="center"/>
          </w:tcPr>
          <w:p>
            <w:r>
              <w:rPr>
                <w:b w:val="0"/>
                <w:sz w:val="18"/>
              </w:rPr>
              <w:t>Failed_Transactions</w:t>
            </w:r>
          </w:p>
        </w:tc>
        <w:tc>
          <w:tcPr>
            <w:tcW w:type="dxa" w:w="4968"/>
            <w:vAlign w:val="center"/>
          </w:tcPr>
          <w:p>
            <w:r>
              <w:rPr>
                <w:b w:val="0"/>
                <w:sz w:val="18"/>
              </w:rPr>
              <w:t>1631</w:t>
            </w:r>
          </w:p>
        </w:tc>
      </w:tr>
      <w:tr>
        <w:tc>
          <w:tcPr>
            <w:tcW w:type="dxa" w:w="4968"/>
            <w:vAlign w:val="center"/>
          </w:tcPr>
          <w:p>
            <w:r>
              <w:rPr>
                <w:b w:val="0"/>
                <w:sz w:val="18"/>
              </w:rPr>
              <w:t>Cash_Withdrawals</w:t>
            </w:r>
          </w:p>
        </w:tc>
        <w:tc>
          <w:tcPr>
            <w:tcW w:type="dxa" w:w="4968"/>
            <w:vAlign w:val="center"/>
          </w:tcPr>
          <w:p>
            <w:r>
              <w:rPr>
                <w:b w:val="0"/>
                <w:sz w:val="18"/>
              </w:rPr>
              <w:t>1065</w:t>
            </w:r>
          </w:p>
        </w:tc>
      </w:tr>
      <w:tr>
        <w:tc>
          <w:tcPr>
            <w:tcW w:type="dxa" w:w="4968"/>
            <w:vAlign w:val="center"/>
          </w:tcPr>
          <w:p>
            <w:r>
              <w:rPr>
                <w:b w:val="0"/>
                <w:sz w:val="18"/>
              </w:rPr>
              <w:t>Branch_Visits</w:t>
            </w:r>
          </w:p>
        </w:tc>
        <w:tc>
          <w:tcPr>
            <w:tcW w:type="dxa" w:w="4968"/>
            <w:vAlign w:val="center"/>
          </w:tcPr>
          <w:p>
            <w:r>
              <w:rPr>
                <w:b w:val="0"/>
                <w:sz w:val="18"/>
              </w:rPr>
              <w:t>606</w:t>
            </w:r>
          </w:p>
        </w:tc>
      </w:tr>
      <w:tr>
        <w:tc>
          <w:tcPr>
            <w:tcW w:type="dxa" w:w="4968"/>
            <w:vAlign w:val="center"/>
          </w:tcPr>
          <w:p>
            <w:r>
              <w:rPr>
                <w:b w:val="0"/>
                <w:sz w:val="18"/>
              </w:rPr>
              <w:t>Credit_Score</w:t>
            </w:r>
          </w:p>
        </w:tc>
        <w:tc>
          <w:tcPr>
            <w:tcW w:type="dxa" w:w="4968"/>
            <w:vAlign w:val="center"/>
          </w:tcPr>
          <w:p>
            <w:r>
              <w:rPr>
                <w:b w:val="0"/>
                <w:sz w:val="18"/>
              </w:rPr>
              <w:t>397</w:t>
            </w:r>
          </w:p>
        </w:tc>
      </w:tr>
      <w:tr>
        <w:tc>
          <w:tcPr>
            <w:tcW w:type="dxa" w:w="4968"/>
            <w:vAlign w:val="center"/>
          </w:tcPr>
          <w:p>
            <w:r>
              <w:rPr>
                <w:b w:val="0"/>
                <w:sz w:val="18"/>
              </w:rPr>
              <w:t>Avg_Monthly_Transactions</w:t>
            </w:r>
          </w:p>
        </w:tc>
        <w:tc>
          <w:tcPr>
            <w:tcW w:type="dxa" w:w="4968"/>
            <w:vAlign w:val="center"/>
          </w:tcPr>
          <w:p>
            <w:r>
              <w:rPr>
                <w:b w:val="0"/>
                <w:sz w:val="18"/>
              </w:rPr>
              <w:t>393</w:t>
            </w:r>
          </w:p>
        </w:tc>
      </w:tr>
      <w:tr>
        <w:tc>
          <w:tcPr>
            <w:tcW w:type="dxa" w:w="4968"/>
            <w:vAlign w:val="center"/>
          </w:tcPr>
          <w:p>
            <w:r>
              <w:rPr>
                <w:b w:val="0"/>
                <w:sz w:val="18"/>
              </w:rPr>
              <w:t>Complaints</w:t>
            </w:r>
          </w:p>
        </w:tc>
        <w:tc>
          <w:tcPr>
            <w:tcW w:type="dxa" w:w="4968"/>
            <w:vAlign w:val="center"/>
          </w:tcPr>
          <w:p>
            <w:r>
              <w:rPr>
                <w:b w:val="0"/>
                <w:sz w:val="18"/>
              </w:rPr>
              <w:t>387</w:t>
            </w:r>
          </w:p>
        </w:tc>
      </w:tr>
      <w:tr>
        <w:tc>
          <w:tcPr>
            <w:tcW w:type="dxa" w:w="4968"/>
            <w:vAlign w:val="center"/>
          </w:tcPr>
          <w:p>
            <w:r>
              <w:rPr>
                <w:b w:val="0"/>
                <w:sz w:val="18"/>
              </w:rPr>
              <w:t>Employment_Years</w:t>
            </w:r>
          </w:p>
        </w:tc>
        <w:tc>
          <w:tcPr>
            <w:tcW w:type="dxa" w:w="4968"/>
            <w:vAlign w:val="center"/>
          </w:tcPr>
          <w:p>
            <w:r>
              <w:rPr>
                <w:b w:val="0"/>
                <w:sz w:val="18"/>
              </w:rPr>
              <w:t>167</w:t>
            </w:r>
          </w:p>
        </w:tc>
      </w:tr>
      <w:tr>
        <w:tc>
          <w:tcPr>
            <w:tcW w:type="dxa" w:w="4968"/>
            <w:vAlign w:val="center"/>
          </w:tcPr>
          <w:p>
            <w:r>
              <w:rPr>
                <w:b w:val="0"/>
                <w:sz w:val="18"/>
              </w:rPr>
              <w:t>Age</w:t>
            </w:r>
          </w:p>
        </w:tc>
        <w:tc>
          <w:tcPr>
            <w:tcW w:type="dxa" w:w="4968"/>
            <w:vAlign w:val="center"/>
          </w:tcPr>
          <w:p>
            <w:r>
              <w:rPr>
                <w:b w:val="0"/>
                <w:sz w:val="18"/>
              </w:rPr>
              <w:t>159</w:t>
            </w:r>
          </w:p>
        </w:tc>
      </w:tr>
      <w:tr>
        <w:tc>
          <w:tcPr>
            <w:tcW w:type="dxa" w:w="4968"/>
            <w:vAlign w:val="center"/>
          </w:tcPr>
          <w:p>
            <w:r>
              <w:rPr>
                <w:b w:val="0"/>
                <w:sz w:val="18"/>
              </w:rPr>
              <w:t>Online_Transactions</w:t>
            </w:r>
          </w:p>
        </w:tc>
        <w:tc>
          <w:tcPr>
            <w:tcW w:type="dxa" w:w="4968"/>
            <w:vAlign w:val="center"/>
          </w:tcPr>
          <w:p>
            <w:r>
              <w:rPr>
                <w:b w:val="0"/>
                <w:sz w:val="18"/>
              </w:rPr>
              <w:t>96</w:t>
            </w:r>
          </w:p>
        </w:tc>
      </w:tr>
      <w:tr>
        <w:tc>
          <w:tcPr>
            <w:tcW w:type="dxa" w:w="4968"/>
            <w:vAlign w:val="center"/>
          </w:tcPr>
          <w:p>
            <w:r>
              <w:rPr>
                <w:b w:val="0"/>
                <w:sz w:val="18"/>
              </w:rPr>
              <w:t>Customer_Service_Calls</w:t>
            </w:r>
          </w:p>
        </w:tc>
        <w:tc>
          <w:tcPr>
            <w:tcW w:type="dxa" w:w="4968"/>
            <w:vAlign w:val="center"/>
          </w:tcPr>
          <w:p>
            <w:r>
              <w:rPr>
                <w:b w:val="0"/>
                <w:sz w:val="18"/>
              </w:rPr>
              <w:t>80</w:t>
            </w:r>
          </w:p>
        </w:tc>
      </w:tr>
    </w:tbl>
    <w:p>
      <w:pPr>
        <w:pStyle w:val="Heading1"/>
      </w:pPr>
      <w:r>
        <w:t>6. Feature Scaling</w:t>
      </w:r>
    </w:p>
    <w:p>
      <w:r>
        <w:t>StandardScaler was applied after the stratified train-test split. The scaler was fitted only on the training data and then applied to the test data to avoid data leakage.</w:t>
      </w:r>
    </w:p>
    <w:p>
      <w:pPr>
        <w:pStyle w:val="Heading1"/>
      </w:pPr>
      <w:r>
        <w:t>7. Handling Class Imbalance</w:t>
      </w:r>
    </w:p>
    <w:p>
      <w:r>
        <w:t>The target distribution is approximately 84.18% No Churn and 15.82% Churn. A stratified 80:20 train-test split was used to preserve the class distribution. The evaluation emphasizes Precision, Recall, F1-score and ROC-AUC in addition to Accuracy.</w:t>
      </w:r>
    </w:p>
    <w:p>
      <w:pPr>
        <w:pStyle w:val="Heading1"/>
      </w:pPr>
      <w:r>
        <w:t>8. Final Feature Set</w:t>
      </w:r>
    </w:p>
    <w:p>
      <w:r>
        <w:t>After preprocessing, 36 features were available for model training. The prepared feature matrix X and binary target y were used for Logistic Regression, Decision Tree, Random Forest, Gradient Boosting and K-Nearest Neighbors.</w:t>
      </w:r>
    </w:p>
    <w:p>
      <w:pPr>
        <w:pStyle w:val="Heading1"/>
      </w:pPr>
      <w:r>
        <w:t>9. Conclusion</w:t>
      </w:r>
    </w:p>
    <w:p>
      <w:r>
        <w:t>Feature engineering improved the quality of the banking data by removing identifiers, handling invalid and missing values, capping outliers, encoding categorical variables, and standardizing the feature matrix for model development.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