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Insights &amp; Business Recommendations Report</w:t>
      </w:r>
    </w:p>
    <w:p>
      <w:pPr>
        <w:jc w:val="center"/>
      </w:pPr>
      <w:r>
        <w:rPr>
          <w:sz w:val="21"/>
        </w:rPr>
        <w:t>Project: Banking Customer Churn Prediction System</w:t>
        <w:br/>
        <w:t>Dataset: banking_customer_churn_50000.csv</w:t>
      </w:r>
    </w:p>
    <w:p/>
    <w:p>
      <w:pPr>
        <w:pStyle w:val="Heading1"/>
      </w:pPr>
      <w:r>
        <w:t>1. Objective</w:t>
      </w:r>
    </w:p>
    <w:p>
      <w:r>
        <w:t>The objective of this report is to translate the banking churn analysis into practical customer-retention insights and recommendations.</w:t>
      </w:r>
    </w:p>
    <w:p>
      <w:pPr>
        <w:pStyle w:val="Heading1"/>
      </w:pPr>
      <w:r>
        <w:t>2. Key Insights from the Dataset and Model</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sz w:val="18"/>
              </w:rPr>
              <w:t>Finding</w:t>
            </w:r>
          </w:p>
        </w:tc>
        <w:tc>
          <w:tcPr>
            <w:tcW w:type="dxa" w:w="4968"/>
            <w:vAlign w:val="center"/>
          </w:tcPr>
          <w:p>
            <w:r>
              <w:rPr>
                <w:b/>
                <w:sz w:val="18"/>
              </w:rPr>
              <w:t>Business Insight</w:t>
            </w:r>
          </w:p>
        </w:tc>
      </w:tr>
      <w:tr>
        <w:tc>
          <w:tcPr>
            <w:tcW w:type="dxa" w:w="4968"/>
            <w:vAlign w:val="center"/>
          </w:tcPr>
          <w:p>
            <w:r>
              <w:rPr>
                <w:b w:val="0"/>
                <w:sz w:val="18"/>
              </w:rPr>
              <w:t>Customer inactivity</w:t>
            </w:r>
          </w:p>
        </w:tc>
        <w:tc>
          <w:tcPr>
            <w:tcW w:type="dxa" w:w="4968"/>
            <w:vAlign w:val="center"/>
          </w:tcPr>
          <w:p>
            <w:r>
              <w:rPr>
                <w:b w:val="0"/>
                <w:sz w:val="18"/>
              </w:rPr>
              <w:t>Longer periods since the last transaction indicate lower engagement and can be used as an early churn-risk signal.</w:t>
            </w:r>
          </w:p>
        </w:tc>
      </w:tr>
      <w:tr>
        <w:tc>
          <w:tcPr>
            <w:tcW w:type="dxa" w:w="4968"/>
            <w:vAlign w:val="center"/>
          </w:tcPr>
          <w:p>
            <w:r>
              <w:rPr>
                <w:b w:val="0"/>
                <w:sz w:val="18"/>
              </w:rPr>
              <w:t>Digital banking adoption</w:t>
            </w:r>
          </w:p>
        </w:tc>
        <w:tc>
          <w:tcPr>
            <w:tcW w:type="dxa" w:w="4968"/>
            <w:vAlign w:val="center"/>
          </w:tcPr>
          <w:p>
            <w:r>
              <w:rPr>
                <w:b w:val="0"/>
                <w:sz w:val="18"/>
              </w:rPr>
              <w:t>Customers not using digital, mobile or internet banking can have lower engagement and should be targeted for digital activation.</w:t>
            </w:r>
          </w:p>
        </w:tc>
      </w:tr>
      <w:tr>
        <w:tc>
          <w:tcPr>
            <w:tcW w:type="dxa" w:w="4968"/>
            <w:vAlign w:val="center"/>
          </w:tcPr>
          <w:p>
            <w:r>
              <w:rPr>
                <w:b w:val="0"/>
                <w:sz w:val="18"/>
              </w:rPr>
              <w:t>Complaints and service calls</w:t>
            </w:r>
          </w:p>
        </w:tc>
        <w:tc>
          <w:tcPr>
            <w:tcW w:type="dxa" w:w="4968"/>
            <w:vAlign w:val="center"/>
          </w:tcPr>
          <w:p>
            <w:r>
              <w:rPr>
                <w:b w:val="0"/>
                <w:sz w:val="18"/>
              </w:rPr>
              <w:t>Repeated complaints and service interactions can indicate dissatisfaction and should trigger proactive follow-up.</w:t>
            </w:r>
          </w:p>
        </w:tc>
      </w:tr>
      <w:tr>
        <w:tc>
          <w:tcPr>
            <w:tcW w:type="dxa" w:w="4968"/>
            <w:vAlign w:val="center"/>
          </w:tcPr>
          <w:p>
            <w:r>
              <w:rPr>
                <w:b w:val="0"/>
                <w:sz w:val="18"/>
              </w:rPr>
              <w:t>Account balance</w:t>
            </w:r>
          </w:p>
        </w:tc>
        <w:tc>
          <w:tcPr>
            <w:tcW w:type="dxa" w:w="4968"/>
            <w:vAlign w:val="center"/>
          </w:tcPr>
          <w:p>
            <w:r>
              <w:rPr>
                <w:b w:val="0"/>
                <w:sz w:val="18"/>
              </w:rPr>
              <w:t>Very low balances can indicate reduced banking relationship activity and should be monitored with other signals.</w:t>
            </w:r>
          </w:p>
        </w:tc>
      </w:tr>
      <w:tr>
        <w:tc>
          <w:tcPr>
            <w:tcW w:type="dxa" w:w="4968"/>
            <w:vAlign w:val="center"/>
          </w:tcPr>
          <w:p>
            <w:r>
              <w:rPr>
                <w:b w:val="0"/>
                <w:sz w:val="18"/>
              </w:rPr>
              <w:t>Debt burden</w:t>
            </w:r>
          </w:p>
        </w:tc>
        <w:tc>
          <w:tcPr>
            <w:tcW w:type="dxa" w:w="4968"/>
            <w:vAlign w:val="center"/>
          </w:tcPr>
          <w:p>
            <w:r>
              <w:rPr>
                <w:b w:val="0"/>
                <w:sz w:val="18"/>
              </w:rPr>
              <w:t>High debt-to-income levels and multiple loans can be associated with financial stress and require careful customer support.</w:t>
            </w:r>
          </w:p>
        </w:tc>
      </w:tr>
      <w:tr>
        <w:tc>
          <w:tcPr>
            <w:tcW w:type="dxa" w:w="4968"/>
            <w:vAlign w:val="center"/>
          </w:tcPr>
          <w:p>
            <w:r>
              <w:rPr>
                <w:b w:val="0"/>
                <w:sz w:val="18"/>
              </w:rPr>
              <w:t>Product relationship</w:t>
            </w:r>
          </w:p>
        </w:tc>
        <w:tc>
          <w:tcPr>
            <w:tcW w:type="dxa" w:w="4968"/>
            <w:vAlign w:val="center"/>
          </w:tcPr>
          <w:p>
            <w:r>
              <w:rPr>
                <w:b w:val="0"/>
                <w:sz w:val="18"/>
              </w:rPr>
              <w:t>Customers with multiple products such as deposits, insurance or mutual funds generally have deeper relationships with the bank.</w:t>
            </w:r>
          </w:p>
        </w:tc>
      </w:tr>
    </w:tbl>
    <w:p>
      <w:pPr>
        <w:pStyle w:val="Heading1"/>
      </w:pPr>
      <w:r>
        <w:t>3. High-Risk Customer Groups</w:t>
      </w:r>
    </w:p>
    <w:p>
      <w:pPr>
        <w:pStyle w:val="ListBullet"/>
      </w:pPr>
      <w:r>
        <w:t>Customers with long periods since their last transaction.</w:t>
      </w:r>
    </w:p>
    <w:p>
      <w:pPr>
        <w:pStyle w:val="ListBullet"/>
      </w:pPr>
      <w:r>
        <w:t>Customers with low digital-banking engagement.</w:t>
      </w:r>
    </w:p>
    <w:p>
      <w:pPr>
        <w:pStyle w:val="ListBullet"/>
      </w:pPr>
      <w:r>
        <w:t>Customers with repeated complaints or customer-service interactions.</w:t>
      </w:r>
    </w:p>
    <w:p>
      <w:pPr>
        <w:pStyle w:val="ListBullet"/>
      </w:pPr>
      <w:r>
        <w:t>Customers with low account balances and declining activity.</w:t>
      </w:r>
    </w:p>
    <w:p>
      <w:pPr>
        <w:pStyle w:val="ListBullet"/>
      </w:pPr>
      <w:r>
        <w:t>Customers with high debt-to-income levels or multiple loans.</w:t>
      </w:r>
    </w:p>
    <w:p>
      <w:pPr>
        <w:pStyle w:val="ListBullet"/>
      </w:pPr>
      <w:r>
        <w:t>Customers with limited product relationships.</w:t>
      </w:r>
    </w:p>
    <w:p>
      <w:pPr>
        <w:pStyle w:val="Heading1"/>
      </w:pPr>
      <w:r>
        <w:t>4. Business Recommendations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sz w:val="18"/>
              </w:rPr>
              <w:t>Business Issue</w:t>
            </w:r>
          </w:p>
        </w:tc>
        <w:tc>
          <w:tcPr>
            <w:tcW w:type="dxa" w:w="4968"/>
            <w:vAlign w:val="center"/>
          </w:tcPr>
          <w:p>
            <w:r>
              <w:rPr>
                <w:b/>
                <w:sz w:val="18"/>
              </w:rPr>
              <w:t>Recommended Action</w:t>
            </w:r>
          </w:p>
        </w:tc>
      </w:tr>
      <w:tr>
        <w:tc>
          <w:tcPr>
            <w:tcW w:type="dxa" w:w="4968"/>
            <w:vAlign w:val="center"/>
          </w:tcPr>
          <w:p>
            <w:r>
              <w:rPr>
                <w:b w:val="0"/>
                <w:sz w:val="18"/>
              </w:rPr>
              <w:t>Reduce Customer Inactivity</w:t>
            </w:r>
          </w:p>
        </w:tc>
        <w:tc>
          <w:tcPr>
            <w:tcW w:type="dxa" w:w="4968"/>
            <w:vAlign w:val="center"/>
          </w:tcPr>
          <w:p>
            <w:r>
              <w:rPr>
                <w:b w:val="0"/>
                <w:sz w:val="18"/>
              </w:rPr>
              <w:t>Create automated alerts for customers crossing inactivity thresholds and initiate personalized outreach.</w:t>
            </w:r>
          </w:p>
        </w:tc>
      </w:tr>
      <w:tr>
        <w:tc>
          <w:tcPr>
            <w:tcW w:type="dxa" w:w="4968"/>
            <w:vAlign w:val="center"/>
          </w:tcPr>
          <w:p>
            <w:r>
              <w:rPr>
                <w:b w:val="0"/>
                <w:sz w:val="18"/>
              </w:rPr>
              <w:t>Increase Digital Adoption</w:t>
            </w:r>
          </w:p>
        </w:tc>
        <w:tc>
          <w:tcPr>
            <w:tcW w:type="dxa" w:w="4968"/>
            <w:vAlign w:val="center"/>
          </w:tcPr>
          <w:p>
            <w:r>
              <w:rPr>
                <w:b w:val="0"/>
                <w:sz w:val="18"/>
              </w:rPr>
              <w:t>Provide onboarding campaigns and assisted activation for mobile and internet banking.</w:t>
            </w:r>
          </w:p>
        </w:tc>
      </w:tr>
      <w:tr>
        <w:tc>
          <w:tcPr>
            <w:tcW w:type="dxa" w:w="4968"/>
            <w:vAlign w:val="center"/>
          </w:tcPr>
          <w:p>
            <w:r>
              <w:rPr>
                <w:b w:val="0"/>
                <w:sz w:val="18"/>
              </w:rPr>
              <w:t>Proactive Complaint Management</w:t>
            </w:r>
          </w:p>
        </w:tc>
        <w:tc>
          <w:tcPr>
            <w:tcW w:type="dxa" w:w="4968"/>
            <w:vAlign w:val="center"/>
          </w:tcPr>
          <w:p>
            <w:r>
              <w:rPr>
                <w:b w:val="0"/>
                <w:sz w:val="18"/>
              </w:rPr>
              <w:t>Route repeated complaints to priority service teams and monitor resolution quality.</w:t>
            </w:r>
          </w:p>
        </w:tc>
      </w:tr>
      <w:tr>
        <w:tc>
          <w:tcPr>
            <w:tcW w:type="dxa" w:w="4968"/>
            <w:vAlign w:val="center"/>
          </w:tcPr>
          <w:p>
            <w:r>
              <w:rPr>
                <w:b w:val="0"/>
                <w:sz w:val="18"/>
              </w:rPr>
              <w:t>Personalized Offers</w:t>
            </w:r>
          </w:p>
        </w:tc>
        <w:tc>
          <w:tcPr>
            <w:tcW w:type="dxa" w:w="4968"/>
            <w:vAlign w:val="center"/>
          </w:tcPr>
          <w:p>
            <w:r>
              <w:rPr>
                <w:b w:val="0"/>
                <w:sz w:val="18"/>
              </w:rPr>
              <w:t>Use churn probability together with customer value to design targeted retention offers.</w:t>
            </w:r>
          </w:p>
        </w:tc>
      </w:tr>
      <w:tr>
        <w:tc>
          <w:tcPr>
            <w:tcW w:type="dxa" w:w="4968"/>
            <w:vAlign w:val="center"/>
          </w:tcPr>
          <w:p>
            <w:r>
              <w:rPr>
                <w:b w:val="0"/>
                <w:sz w:val="18"/>
              </w:rPr>
              <w:t>Financial Support</w:t>
            </w:r>
          </w:p>
        </w:tc>
        <w:tc>
          <w:tcPr>
            <w:tcW w:type="dxa" w:w="4968"/>
            <w:vAlign w:val="center"/>
          </w:tcPr>
          <w:p>
            <w:r>
              <w:rPr>
                <w:b w:val="0"/>
                <w:sz w:val="18"/>
              </w:rPr>
              <w:t>Offer suitable repayment or financial-planning support to customers showing high debt burden.</w:t>
            </w:r>
          </w:p>
        </w:tc>
      </w:tr>
      <w:tr>
        <w:tc>
          <w:tcPr>
            <w:tcW w:type="dxa" w:w="4968"/>
            <w:vAlign w:val="center"/>
          </w:tcPr>
          <w:p>
            <w:r>
              <w:rPr>
                <w:b w:val="0"/>
                <w:sz w:val="18"/>
              </w:rPr>
              <w:t>Strengthen Relationships</w:t>
            </w:r>
          </w:p>
        </w:tc>
        <w:tc>
          <w:tcPr>
            <w:tcW w:type="dxa" w:w="4968"/>
            <w:vAlign w:val="center"/>
          </w:tcPr>
          <w:p>
            <w:r>
              <w:rPr>
                <w:b w:val="0"/>
                <w:sz w:val="18"/>
              </w:rPr>
              <w:t>Promote relevant products such as fixed deposits, insurance and investments where appropriate.</w:t>
            </w:r>
          </w:p>
        </w:tc>
      </w:tr>
      <w:tr>
        <w:tc>
          <w:tcPr>
            <w:tcW w:type="dxa" w:w="4968"/>
            <w:vAlign w:val="center"/>
          </w:tcPr>
          <w:p>
            <w:r>
              <w:rPr>
                <w:b w:val="0"/>
                <w:sz w:val="18"/>
              </w:rPr>
              <w:t>Model Monitoring</w:t>
            </w:r>
          </w:p>
        </w:tc>
        <w:tc>
          <w:tcPr>
            <w:tcW w:type="dxa" w:w="4968"/>
            <w:vAlign w:val="center"/>
          </w:tcPr>
          <w:p>
            <w:r>
              <w:rPr>
                <w:b w:val="0"/>
                <w:sz w:val="18"/>
              </w:rPr>
              <w:t>Track recall, F1 and ROC-AUC by customer segment rather than relying only on overall accuracy.</w:t>
            </w:r>
          </w:p>
        </w:tc>
      </w:tr>
    </w:tbl>
    <w:p>
      <w:pPr>
        <w:pStyle w:val="Heading1"/>
      </w:pPr>
      <w:r>
        <w:t>5. Expected Business Benefits</w:t>
      </w:r>
    </w:p>
    <w:p>
      <w:pPr>
        <w:pStyle w:val="ListBullet"/>
      </w:pPr>
      <w:r>
        <w:t>Reduce preventable customer churn.</w:t>
      </w:r>
    </w:p>
    <w:p>
      <w:pPr>
        <w:pStyle w:val="ListBullet"/>
      </w:pPr>
      <w:r>
        <w:t>Improve customer engagement and digital adoption.</w:t>
      </w:r>
    </w:p>
    <w:p>
      <w:pPr>
        <w:pStyle w:val="ListBullet"/>
      </w:pPr>
      <w:r>
        <w:t>Increase customer lifetime value.</w:t>
      </w:r>
    </w:p>
    <w:p>
      <w:pPr>
        <w:pStyle w:val="ListBullet"/>
      </w:pPr>
      <w:r>
        <w:t>Improve proactive customer-service operations.</w:t>
      </w:r>
    </w:p>
    <w:p>
      <w:pPr>
        <w:pStyle w:val="ListBullet"/>
      </w:pPr>
      <w:r>
        <w:t>Support targeted retention campaigns instead of broad campaigns.</w:t>
      </w:r>
    </w:p>
    <w:p>
      <w:pPr>
        <w:pStyle w:val="ListBullet"/>
      </w:pPr>
      <w:r>
        <w:t>Enable data-driven customer-risk prioritization.</w:t>
      </w:r>
    </w:p>
    <w:p>
      <w:pPr>
        <w:pStyle w:val="Heading1"/>
      </w:pPr>
      <w:r>
        <w:t>6. Important Model Limitation</w:t>
      </w:r>
    </w:p>
    <w:p>
      <w:r>
        <w:t>The current selected model has a churn-class recall of 0.0512. This means the model misses a substantial portion of customers who actually churn. Therefore, model predictions should initially be treated as a decision-support signal rather than an automated final decision.</w:t>
      </w:r>
    </w:p>
    <w:p>
      <w:pPr>
        <w:pStyle w:val="Heading1"/>
      </w:pPr>
      <w:r>
        <w:t>7. Conclusion</w:t>
      </w:r>
    </w:p>
    <w:p>
      <w:r>
        <w:t>The banking churn project demonstrates an end-to-end supervised machine learning workflow. The analysis identifies inactivity, digital engagement, complaints, financial stress and relationship depth as useful areas for retention strategies. The next production iteration should focus on improving churn recall, calibrating probabilities and validating the model on future customer data before deployment.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