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CREDIT RATING SIMULATOR</w:t>
      </w:r>
    </w:p>
    <w:p>
      <w:pPr>
        <w:spacing w:after="90"/>
        <w:jc w:val="center"/>
      </w:pPr>
      <w:r>
        <w:rPr>
          <w:b/>
          <w:bCs/>
          <w:color w:val="1F3864"/>
          <w:sz w:val="28"/>
          <w:szCs w:val="28"/>
        </w:rPr>
        <w:t xml:space="preserve">STANDARD INPUT TEMPLATE — WORKED REFERENCE COPY</w:t>
      </w:r>
    </w:p>
    <w:p>
      <w:pPr>
        <w:spacing w:after="60"/>
        <w:jc w:val="center"/>
      </w:pPr>
      <w:r>
        <w:rPr>
          <w:i/>
          <w:iCs/>
          <w:sz w:val="21"/>
          <w:szCs w:val="21"/>
        </w:rPr>
        <w:t xml:space="preserve">Blocks A (Business/Operating), D (Structural Protections) and Notching Inputs</w:t>
      </w:r>
    </w:p>
    <w:p>
      <w:pPr>
        <w:spacing w:after="40"/>
        <w:jc w:val="center"/>
      </w:pPr>
      <w:r>
        <w:rPr>
          <w:b/>
          <w:bCs/>
          <w:sz w:val="21"/>
          <w:szCs w:val="21"/>
        </w:rPr>
        <w:t xml:space="preserve">Version 3.0 — 30 July 2026</w:t>
      </w:r>
    </w:p>
    <w:p>
      <w:pPr>
        <w:spacing w:after="260"/>
        <w:jc w:val="center"/>
      </w:pPr>
      <w:r>
        <w:rPr>
          <w:color w:val="595959"/>
          <w:sz w:val="19"/>
          <w:szCs w:val="19"/>
        </w:rPr>
        <w:t xml:space="preserve">Aligned to Core Rating Criteria v3.0</w:t>
      </w:r>
    </w:p>
    <w:p>
      <w:pPr>
        <w:pBdr>
          <w:bottom w:val="single" w:color="1F3864" w:sz="8" w:space="6"/>
        </w:pBdr>
        <w:spacing w:after="200"/>
      </w:pPr>
      <w:r>
        <w:t xml:space="preserve"/>
      </w:r>
    </w:p>
    <w:p>
      <w:pPr>
        <w:shd w:fill="FFF2CC" w:color="auto" w:val="clear"/>
        <w:spacing w:after="240"/>
      </w:pPr>
      <w:r>
        <w:rPr>
          <w:b/>
          <w:bCs/>
          <w:sz w:val="19"/>
          <w:szCs w:val="19"/>
        </w:rPr>
        <w:t xml:space="preserve">WORKED REFERENCE COPY — TP-2 MID WIND. This is not a blank form.</w:t>
      </w:r>
      <w:r>
        <w:rPr>
          <w:sz w:val="19"/>
          <w:szCs w:val="19"/>
        </w:rPr>
        <w:t xml:space="preserve"> Every entry below is invented and belongs to reference project TP-2 in Credit Rating Simulator Test Fixtures v3.0. It exists so the application can be validated end to end: upload this together with the matching worked Key Input Template 2, run the assessment, and check the result against the TP-2 column of the Test Projects sheet — raw 84.5, one notch for an Adequate DISCOM offtaker, post-notching 77.5, band </w:t>
      </w:r>
      <w:r>
        <w:rPr>
          <w:b/>
          <w:bCs/>
          <w:sz w:val="19"/>
          <w:szCs w:val="19"/>
        </w:rPr>
        <w:t xml:space="preserve">BB</w:t>
      </w:r>
      <w:r>
        <w:rPr>
          <w:sz w:val="19"/>
          <w:szCs w:val="19"/>
        </w:rPr>
        <w:t xml:space="preserve">, no cap, d = 0.5, confidence </w:t>
      </w:r>
      <w:r>
        <w:rPr>
          <w:b/>
          <w:bCs/>
          <w:sz w:val="19"/>
          <w:szCs w:val="19"/>
        </w:rPr>
        <w:t xml:space="preserve">Moderate</w:t>
      </w:r>
      <w:r>
        <w:rPr>
          <w:sz w:val="19"/>
          <w:szCs w:val="19"/>
        </w:rPr>
        <w:t xml:space="preserve">. Six cells are deliberately blank: the three annual generation figures (TP-2 has only 1.17 operating years, so the whole-period figure governs), contingency share and the lock-up threshold (both inapplicable), and the aggregated-offtaker tier (the count is zero). </w:t>
      </w:r>
      <w:r>
        <w:rPr>
          <w:b/>
          <w:bCs/>
          <w:sz w:val="19"/>
          <w:szCs w:val="19"/>
        </w:rPr>
        <w:t xml:space="preserve">Do not use this for a live assessment.</w:t>
      </w:r>
    </w:p>
    <w:p>
      <w:pPr>
        <w:pStyle w:val="Heading2"/>
        <w:spacing w:after="140" w:before="300"/>
      </w:pPr>
      <w:r>
        <w:rPr>
          <w:b/>
          <w:bCs/>
          <w:color w:val="1F3864"/>
          <w:sz w:val="25"/>
          <w:szCs w:val="25"/>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Version</w:t>
            </w:r>
          </w:p>
        </w:tc>
        <w:tc>
          <w:tcPr>
            <w:tcW w:type="dxa" w:w="3240"/>
            <w:tcMar>
              <w:top w:type="dxa" w:w="80"/>
              <w:left w:type="dxa" w:w="110"/>
              <w:bottom w:type="dxa" w:w="80"/>
              <w:right w:type="dxa" w:w="110"/>
            </w:tcMar>
          </w:tcPr>
          <w:p>
            <w:pPr>
              <w:spacing w:after="0"/>
            </w:pPr>
            <w:r>
              <w:t xml:space="preserve">3.0</w:t>
            </w:r>
          </w:p>
        </w:tc>
      </w:tr>
      <w:tr>
        <w:tc>
          <w:tcPr>
            <w:tcW w:type="dxa" w:w="6120"/>
            <w:shd w:fill="F2F2F2" w:color="auto" w:val="clear"/>
            <w:tcMar>
              <w:top w:type="dxa" w:w="80"/>
              <w:left w:type="dxa" w:w="110"/>
              <w:bottom w:type="dxa" w:w="80"/>
              <w:right w:type="dxa" w:w="110"/>
            </w:tcMar>
          </w:tcPr>
          <w:p>
            <w:pPr>
              <w:spacing w:after="0"/>
            </w:pPr>
            <w:r>
              <w:rPr>
                <w:b/>
                <w:bCs/>
              </w:rPr>
              <w:t xml:space="preserve">Issue date</w:t>
            </w:r>
          </w:p>
        </w:tc>
        <w:tc>
          <w:tcPr>
            <w:tcW w:type="dxa" w:w="3240"/>
            <w:tcMar>
              <w:top w:type="dxa" w:w="80"/>
              <w:left w:type="dxa" w:w="110"/>
              <w:bottom w:type="dxa" w:w="80"/>
              <w:right w:type="dxa" w:w="110"/>
            </w:tcMar>
          </w:tcPr>
          <w:p>
            <w:pPr>
              <w:spacing w:after="0"/>
            </w:pPr>
            <w:r>
              <w:t xml:space="preserve">30 July 2026</w:t>
            </w:r>
          </w:p>
        </w:tc>
      </w:tr>
      <w:tr>
        <w:tc>
          <w:tcPr>
            <w:tcW w:type="dxa" w:w="6120"/>
            <w:shd w:fill="F2F2F2" w:color="auto" w:val="clear"/>
            <w:tcMar>
              <w:top w:type="dxa" w:w="80"/>
              <w:left w:type="dxa" w:w="110"/>
              <w:bottom w:type="dxa" w:w="80"/>
              <w:right w:type="dxa" w:w="110"/>
            </w:tcMar>
          </w:tcPr>
          <w:p>
            <w:pPr>
              <w:spacing w:after="0"/>
            </w:pPr>
            <w:r>
              <w:rPr>
                <w:b/>
                <w:bCs/>
              </w:rPr>
              <w:t xml:space="preserve">Supersedes</w:t>
            </w:r>
          </w:p>
        </w:tc>
        <w:tc>
          <w:tcPr>
            <w:tcW w:type="dxa" w:w="3240"/>
            <w:tcMar>
              <w:top w:type="dxa" w:w="80"/>
              <w:left w:type="dxa" w:w="110"/>
              <w:bottom w:type="dxa" w:w="80"/>
              <w:right w:type="dxa" w:w="110"/>
            </w:tcMar>
          </w:tcPr>
          <w:p>
            <w:pPr>
              <w:spacing w:after="0"/>
            </w:pPr>
            <w:r>
              <w:t xml:space="preserve">v2.0 (30 July 2026); v1.0 (undated)</w:t>
            </w:r>
          </w:p>
        </w:tc>
      </w:tr>
      <w:tr>
        <w:tc>
          <w:tcPr>
            <w:tcW w:type="dxa" w:w="6120"/>
            <w:shd w:fill="F2F2F2" w:color="auto" w:val="clear"/>
            <w:tcMar>
              <w:top w:type="dxa" w:w="80"/>
              <w:left w:type="dxa" w:w="110"/>
              <w:bottom w:type="dxa" w:w="80"/>
              <w:right w:type="dxa" w:w="110"/>
            </w:tcMar>
          </w:tcPr>
          <w:p>
            <w:pPr>
              <w:spacing w:after="0"/>
            </w:pPr>
            <w:r>
              <w:rPr>
                <w:b/>
                <w:bCs/>
              </w:rPr>
              <w:t xml:space="preserve">Governing document</w:t>
            </w:r>
          </w:p>
        </w:tc>
        <w:tc>
          <w:tcPr>
            <w:tcW w:type="dxa" w:w="3240"/>
            <w:tcMar>
              <w:top w:type="dxa" w:w="80"/>
              <w:left w:type="dxa" w:w="110"/>
              <w:bottom w:type="dxa" w:w="80"/>
              <w:right w:type="dxa" w:w="110"/>
            </w:tcMar>
          </w:tcPr>
          <w:p>
            <w:pPr>
              <w:spacing w:after="0"/>
            </w:pPr>
            <w:r>
              <w:t xml:space="preserve">Core Rating Criteria v3.0, Sections 10.2, 14 (Appendix A — enumerations) and 15 (Appendix B — field dictionary)</w:t>
            </w:r>
          </w:p>
        </w:tc>
      </w:tr>
      <w:tr>
        <w:tc>
          <w:tcPr>
            <w:tcW w:type="dxa" w:w="6120"/>
            <w:shd w:fill="F2F2F2" w:color="auto" w:val="clear"/>
            <w:tcMar>
              <w:top w:type="dxa" w:w="80"/>
              <w:left w:type="dxa" w:w="110"/>
              <w:bottom w:type="dxa" w:w="80"/>
              <w:right w:type="dxa" w:w="110"/>
            </w:tcMar>
          </w:tcPr>
          <w:p>
            <w:pPr>
              <w:spacing w:after="0"/>
            </w:pPr>
            <w:r>
              <w:rPr>
                <w:b/>
                <w:bCs/>
              </w:rPr>
              <w:t xml:space="preserve">Companion</w:t>
            </w:r>
          </w:p>
        </w:tc>
        <w:tc>
          <w:tcPr>
            <w:tcW w:type="dxa" w:w="3240"/>
            <w:tcMar>
              <w:top w:type="dxa" w:w="80"/>
              <w:left w:type="dxa" w:w="110"/>
              <w:bottom w:type="dxa" w:w="80"/>
              <w:right w:type="dxa" w:w="110"/>
            </w:tcMar>
          </w:tcPr>
          <w:p>
            <w:pPr>
              <w:spacing w:after="0"/>
            </w:pPr>
            <w:r>
              <w:t xml:space="preserve">Key Input Template 2 v3.0 (Blocks B and C)</w:t>
            </w:r>
          </w:p>
        </w:tc>
      </w:tr>
      <w:tr>
        <w:tc>
          <w:tcPr>
            <w:tcW w:type="dxa" w:w="6120"/>
            <w:shd w:fill="F2F2F2" w:color="auto" w:val="clear"/>
            <w:tcMar>
              <w:top w:type="dxa" w:w="80"/>
              <w:left w:type="dxa" w:w="110"/>
              <w:bottom w:type="dxa" w:w="80"/>
              <w:right w:type="dxa" w:w="110"/>
            </w:tcMar>
          </w:tcPr>
          <w:p>
            <w:pPr>
              <w:spacing w:after="0"/>
            </w:pPr>
            <w:r>
              <w:rPr>
                <w:b/>
                <w:bCs/>
              </w:rPr>
              <w:t xml:space="preserve">Review cadence</w:t>
            </w:r>
          </w:p>
        </w:tc>
        <w:tc>
          <w:tcPr>
            <w:tcW w:type="dxa" w:w="3240"/>
            <w:tcMar>
              <w:top w:type="dxa" w:w="80"/>
              <w:left w:type="dxa" w:w="110"/>
              <w:bottom w:type="dxa" w:w="80"/>
              <w:right w:type="dxa" w:w="110"/>
            </w:tcMar>
          </w:tcPr>
          <w:p>
            <w:pPr>
              <w:spacing w:after="0"/>
            </w:pPr>
            <w:r>
              <w:t xml:space="preserve">On every CORE release. Section A.5 is reviewed whenever MNRE issues an ALMM notification.</w:t>
            </w:r>
          </w:p>
        </w:tc>
      </w:tr>
    </w:tbl>
    <w:p>
      <w:pPr>
        <w:spacing w:after="140"/>
      </w:pPr>
      <w:r>
        <w:t xml:space="preserve"/>
      </w:r>
    </w:p>
    <w:p>
      <w:pPr>
        <w:pStyle w:val="Heading2"/>
        <w:spacing w:after="140" w:before="300"/>
      </w:pPr>
      <w:r>
        <w:rPr>
          <w:b/>
          <w:bCs/>
          <w:color w:val="1F3864"/>
          <w:sz w:val="25"/>
          <w:szCs w:val="25"/>
        </w:rPr>
        <w:t xml:space="preserve">Purpose</w:t>
      </w:r>
    </w:p>
    <w:p>
      <w:pPr>
        <w:spacing w:after="120"/>
      </w:pPr>
      <w:r>
        <w:rPr>
          <w:sz w:val="20"/>
          <w:szCs w:val="20"/>
        </w:rPr>
        <w:t xml:space="preserve">This template captures every qualitative and checklist input required by CORE v2.0 Section 10.2 for Business/Operating scoring (Block A), Structural Protections scoring (Block D), and the three post-score notching factors. It is filled in once per project and read by the extraction pipeline. Keep field labels and response areas in the order shown and do not rename or reorder fields — the extraction prompt is built against this exact layout.</w:t>
      </w:r>
    </w:p>
    <w:p>
      <w:pPr>
        <w:pStyle w:val="Heading2"/>
        <w:spacing w:after="140" w:before="300"/>
      </w:pPr>
      <w:r>
        <w:rPr>
          <w:b/>
          <w:bCs/>
          <w:color w:val="1F3864"/>
          <w:sz w:val="25"/>
          <w:szCs w:val="25"/>
        </w:rPr>
        <w:t xml:space="preserve">What Changed in v3.0</w:t>
      </w:r>
    </w:p>
    <w:p>
      <w:pPr>
        <w:spacing w:after="120"/>
      </w:pPr>
      <w:r>
        <w:rPr>
          <w:sz w:val="20"/>
          <w:szCs w:val="20"/>
        </w:rPr>
        <w:t xml:space="preserve">v3.0 closes the pre-build QA findings. Every enumerated option now carries a stable </w:t>
      </w:r>
      <w:r>
        <w:rPr>
          <w:b/>
          <w:bCs/>
          <w:sz w:val="20"/>
          <w:szCs w:val="20"/>
        </w:rPr>
        <w:t xml:space="preserve">code</w:t>
      </w:r>
      <w:r>
        <w:rPr>
          <w:sz w:val="20"/>
          <w:szCs w:val="20"/>
        </w:rPr>
        <w:t xml:space="preserve"> from CORE Appendix A, so nothing downstream matches on prose. </w:t>
      </w:r>
      <w:r>
        <w:rPr>
          <w:b/>
          <w:bCs/>
          <w:sz w:val="20"/>
          <w:szCs w:val="20"/>
        </w:rPr>
        <w:t xml:space="preserve">Every percentage is now a decimal fraction.</w:t>
      </w:r>
      <w:r>
        <w:rPr>
          <w:sz w:val="20"/>
          <w:szCs w:val="20"/>
        </w:rPr>
        <w:t xml:space="preserve"> Three fields are added that CORE's tier tables required and v2.0 did not collect — the 75%-of-tenor contracted share, sponsor support to </w:t>
      </w:r>
      <w:r>
        <w:rPr>
          <w:i/>
          <w:iCs/>
          <w:sz w:val="20"/>
          <w:szCs w:val="20"/>
        </w:rPr>
        <w:t xml:space="preserve">this</w:t>
      </w:r>
      <w:r>
        <w:rPr>
          <w:sz w:val="20"/>
          <w:szCs w:val="20"/>
        </w:rPr>
        <w:t xml:space="preserve"> project, and the three annual generation figures as separate typed cells. The refinancing mitigant that v2.0 flagged as unresolved is resolved. The self-certified share-summation field is deleted, because the engine computes it. Every field carries its Appendix B name. Section Z records the full list.</w:t>
      </w:r>
    </w:p>
    <w:p>
      <w:pPr>
        <w:pStyle w:val="Heading2"/>
        <w:spacing w:after="140" w:before="300"/>
      </w:pPr>
      <w:r>
        <w:rPr>
          <w:b/>
          <w:bCs/>
          <w:color w:val="1F3864"/>
          <w:sz w:val="25"/>
          <w:szCs w:val="25"/>
        </w:rPr>
        <w:t xml:space="preserve">What Changed in v2.0</w:t>
      </w:r>
    </w:p>
    <w:p>
      <w:pPr>
        <w:spacing w:after="120"/>
      </w:pPr>
      <w:r>
        <w:rPr>
          <w:sz w:val="20"/>
          <w:szCs w:val="20"/>
        </w:rPr>
        <w:t xml:space="preserve">CORE v2.0 made Sections 3.1 and 3.2 deterministically scoreable, which required replacing three free-form narrative fields with enumerated selections. It also split the technology assessment into two dimensions, added numeric anchors to the track-record and operator/sponsor factors, extended the offtaker section from two counterparties to four plus an aggregated line, completed the refinancing and construction option sets, and corrected the ALMM guidance.</w:t>
      </w:r>
    </w:p>
    <w:p>
      <w:pPr>
        <w:pStyle w:val="Heading2"/>
        <w:spacing w:after="140" w:before="300"/>
      </w:pPr>
      <w:r>
        <w:rPr>
          <w:b/>
          <w:bCs/>
          <w:color w:val="1F3864"/>
          <w:sz w:val="25"/>
          <w:szCs w:val="25"/>
        </w:rPr>
        <w:t xml:space="preserve">How to Use</w:t>
      </w:r>
    </w:p>
    <w:p>
      <w:pPr>
        <w:spacing w:after="120"/>
      </w:pPr>
      <w:r>
        <w:rPr>
          <w:b/>
          <w:bCs/>
          <w:sz w:val="20"/>
          <w:szCs w:val="20"/>
        </w:rPr>
        <w:t xml:space="preserve">1.  Complete every response cell.</w:t>
      </w:r>
    </w:p>
    <w:p>
      <w:pPr>
        <w:spacing w:after="100"/>
        <w:ind w:left="320" w:hanging="320"/>
      </w:pPr>
      <w:r>
        <w:rPr>
          <w:sz w:val="20"/>
          <w:szCs w:val="20"/>
        </w:rPr>
        <w:t xml:space="preserve">2.  Where a field offers </w:t>
      </w:r>
      <w:r>
        <w:rPr>
          <w:b/>
          <w:bCs/>
          <w:sz w:val="20"/>
          <w:szCs w:val="20"/>
        </w:rPr>
        <w:t xml:space="preserve">enumerated options</w:t>
      </w:r>
      <w:r>
        <w:rPr>
          <w:sz w:val="20"/>
          <w:szCs w:val="20"/>
        </w:rPr>
        <w:t xml:space="preserve">, each option carries a </w:t>
      </w:r>
      <w:r>
        <w:rPr>
          <w:b/>
          <w:bCs/>
          <w:sz w:val="20"/>
          <w:szCs w:val="20"/>
        </w:rPr>
        <w:t xml:space="preserve">code</w:t>
      </w:r>
      <w:r>
        <w:rPr>
          <w:sz w:val="20"/>
          <w:szCs w:val="20"/>
        </w:rPr>
        <w:t xml:space="preserve"> in the left-hand column (for example </w:t>
      </w:r>
      <w:r>
        <w:rPr>
          <w:rFonts w:ascii="Consolas" w:cs="Consolas" w:eastAsia="Consolas" w:hAnsi="Consolas"/>
          <w:color w:val="7030A0"/>
          <w:sz w:val="17"/>
          <w:szCs w:val="17"/>
        </w:rPr>
        <w:t xml:space="preserve">COMP_POS_5</w:t>
      </w:r>
      <w:r>
        <w:rPr>
          <w:sz w:val="20"/>
          <w:szCs w:val="20"/>
        </w:rPr>
        <w:t xml:space="preserve">). Select the option; the code is what the engine stores and matches on. Display wording may be reworded between releases without a version bump — </w:t>
      </w:r>
      <w:r>
        <w:rPr>
          <w:b/>
          <w:bCs/>
          <w:sz w:val="20"/>
          <w:szCs w:val="20"/>
        </w:rPr>
        <w:t xml:space="preserve">the code may not</w:t>
      </w:r>
      <w:r>
        <w:rPr>
          <w:sz w:val="20"/>
          <w:szCs w:val="20"/>
        </w:rPr>
        <w:t xml:space="preserve"> — so nothing downstream matches on the prose. If you are typing rather than selecting, enter the code.</w:t>
      </w:r>
    </w:p>
    <w:p>
      <w:pPr>
        <w:spacing w:after="100"/>
        <w:ind w:left="320" w:hanging="320"/>
      </w:pPr>
      <w:r>
        <w:rPr>
          <w:sz w:val="20"/>
          <w:szCs w:val="20"/>
        </w:rPr>
        <w:t xml:space="preserve">3.  </w:t>
      </w:r>
      <w:r>
        <w:rPr>
          <w:b/>
          <w:bCs/>
          <w:sz w:val="20"/>
          <w:szCs w:val="20"/>
        </w:rPr>
        <w:t xml:space="preserve">Every percentage on this template is a decimal fraction.</w:t>
      </w:r>
      <w:r>
        <w:rPr>
          <w:sz w:val="20"/>
          <w:szCs w:val="20"/>
        </w:rPr>
        <w:t xml:space="preserve"> Enter </w:t>
      </w:r>
      <w:r>
        <w:rPr>
          <w:b/>
          <w:bCs/>
          <w:sz w:val="20"/>
          <w:szCs w:val="20"/>
        </w:rPr>
        <w:t xml:space="preserve">0.9700 for 97%</w:t>
      </w:r>
      <w:r>
        <w:rPr>
          <w:sz w:val="20"/>
          <w:szCs w:val="20"/>
        </w:rPr>
        <w:t xml:space="preserve">, 0.0500 for 5%, 0.2500 for 25%. No field on this template carries a value out of 100. This is the convention at CORE §9.6 and it applies without exception. </w:t>
      </w:r>
      <w:r>
        <w:rPr>
          <w:i/>
          <w:iCs/>
          <w:sz w:val="20"/>
          <w:szCs w:val="20"/>
        </w:rPr>
        <w:t xml:space="preserve">(v2.0 asked for percentages "to two decimal places" out of 100 on six fields, while CORE and Template 2 used fractions and nothing stated the conversion. A contracted revenue share entered as 97 where 0.9700 is expected scores 0 instead of 8.)</w:t>
      </w:r>
    </w:p>
    <w:p>
      <w:pPr>
        <w:spacing w:after="100"/>
        <w:ind w:left="320" w:hanging="320"/>
      </w:pPr>
      <w:r>
        <w:rPr>
          <w:sz w:val="20"/>
          <w:szCs w:val="20"/>
        </w:rPr>
        <w:t xml:space="preserve">4.  Where a field is genuinely not applicable, select the option whose code ends </w:t>
      </w:r>
      <w:r>
        <w:rPr>
          <w:rFonts w:ascii="Consolas" w:cs="Consolas" w:eastAsia="Consolas" w:hAnsi="Consolas"/>
          <w:color w:val="7030A0"/>
          <w:sz w:val="17"/>
          <w:szCs w:val="17"/>
        </w:rPr>
        <w:t xml:space="preserve">_NOT_APPLICABLE</w:t>
      </w:r>
      <w:r>
        <w:rPr>
          <w:sz w:val="20"/>
          <w:szCs w:val="20"/>
        </w:rPr>
        <w:t xml:space="preserve"> or </w:t>
      </w:r>
      <w:r>
        <w:rPr>
          <w:rFonts w:ascii="Consolas" w:cs="Consolas" w:eastAsia="Consolas" w:hAnsi="Consolas"/>
          <w:color w:val="7030A0"/>
          <w:sz w:val="17"/>
          <w:szCs w:val="17"/>
        </w:rPr>
        <w:t xml:space="preserve">NOT_APPLICABLE_FIXED_RATE</w:t>
      </w:r>
      <w:r>
        <w:rPr>
          <w:sz w:val="20"/>
          <w:szCs w:val="20"/>
        </w:rPr>
        <w:t xml:space="preserve">. This is a deliberate answer and is scored per the relevant CORE table — it is </w:t>
      </w:r>
      <w:r>
        <w:rPr>
          <w:b/>
          <w:bCs/>
          <w:sz w:val="20"/>
          <w:szCs w:val="20"/>
        </w:rPr>
        <w:t xml:space="preserve">not</w:t>
      </w:r>
      <w:r>
        <w:rPr>
          <w:sz w:val="20"/>
          <w:szCs w:val="20"/>
        </w:rPr>
        <w:t xml:space="preserve"> a null.</w:t>
      </w:r>
    </w:p>
    <w:p>
      <w:pPr>
        <w:spacing w:after="100"/>
        <w:ind w:left="320" w:hanging="320"/>
      </w:pPr>
      <w:r>
        <w:rPr>
          <w:sz w:val="20"/>
          <w:szCs w:val="20"/>
        </w:rPr>
        <w:t xml:space="preserve">5.  A </w:t>
      </w:r>
      <w:r>
        <w:rPr>
          <w:b/>
          <w:bCs/>
          <w:sz w:val="20"/>
          <w:szCs w:val="20"/>
        </w:rPr>
        <w:t xml:space="preserve">blank</w:t>
      </w:r>
      <w:r>
        <w:rPr>
          <w:sz w:val="20"/>
          <w:szCs w:val="20"/>
        </w:rPr>
        <w:t xml:space="preserve"> field is a null. Nulls in </w:t>
      </w:r>
      <w:r>
        <w:rPr>
          <w:b/>
          <w:bCs/>
          <w:sz w:val="20"/>
          <w:szCs w:val="20"/>
        </w:rPr>
        <w:t xml:space="preserve">[CRITICAL]</w:t>
      </w:r>
      <w:r>
        <w:rPr>
          <w:sz w:val="20"/>
          <w:szCs w:val="20"/>
        </w:rPr>
        <w:t xml:space="preserve"> fields suppress the rating entirely and return "Insufficient Input — Not Rated" (CORE §9.8.1). Nulls in any other field score zero points for that sub-factor and are listed in the Null Register (CORE §9.8.2). Never guess a value to avoid a null.</w:t>
      </w:r>
    </w:p>
    <w:p>
      <w:pPr>
        <w:spacing w:after="100"/>
        <w:ind w:left="320" w:hanging="320"/>
      </w:pPr>
      <w:r>
        <w:rPr>
          <w:sz w:val="20"/>
          <w:szCs w:val="20"/>
        </w:rPr>
        <w:t xml:space="preserve">6.  Narrative fields that remain in this template are for </w:t>
      </w:r>
      <w:r>
        <w:rPr>
          <w:b/>
          <w:bCs/>
          <w:sz w:val="20"/>
          <w:szCs w:val="20"/>
        </w:rPr>
        <w:t xml:space="preserve">audit trail and rationale drafting only</w:t>
      </w:r>
      <w:r>
        <w:rPr>
          <w:sz w:val="20"/>
          <w:szCs w:val="20"/>
        </w:rPr>
        <w:t xml:space="preserve">. They do not feed a score. Every scored field in Block A is either enumerated or numeric.</w:t>
      </w:r>
    </w:p>
    <w:p>
      <w:pPr>
        <w:spacing w:after="100"/>
        <w:ind w:left="320" w:hanging="320"/>
      </w:pPr>
      <w:r>
        <w:rPr>
          <w:sz w:val="20"/>
          <w:szCs w:val="20"/>
        </w:rPr>
        <w:t xml:space="preserve">7.  The field name in braces after each label — </w:t>
      </w:r>
      <w:r>
        <w:rPr>
          <w:rFonts w:ascii="Consolas" w:cs="Consolas" w:eastAsia="Consolas" w:hAnsi="Consolas"/>
          <w:color w:val="7030A0"/>
          <w:sz w:val="17"/>
          <w:szCs w:val="17"/>
        </w:rPr>
        <w:t xml:space="preserve">{like_this}</w:t>
      </w:r>
      <w:r>
        <w:rPr>
          <w:sz w:val="20"/>
          <w:szCs w:val="20"/>
        </w:rPr>
        <w:t xml:space="preserve"> — is the </w:t>
      </w:r>
      <w:r>
        <w:rPr>
          <w:b/>
          <w:bCs/>
          <w:sz w:val="20"/>
          <w:szCs w:val="20"/>
        </w:rPr>
        <w:t xml:space="preserve">Appendix B field name</w:t>
      </w:r>
      <w:r>
        <w:rPr>
          <w:sz w:val="20"/>
          <w:szCs w:val="20"/>
        </w:rPr>
        <w:t xml:space="preserve">. It is what the JSON schema, the extraction prompt and the Test Projects sheets use. It is not a display label and does not need to be entered.</w:t>
      </w:r>
    </w:p>
    <w:p>
      <w:pPr>
        <w:pStyle w:val="Heading1"/>
        <w:spacing w:after="160" w:before="320"/>
      </w:pPr>
      <w:r>
        <w:rPr>
          <w:b/>
          <w:bCs/>
          <w:color w:val="1F3864"/>
          <w:sz w:val="30"/>
          <w:szCs w:val="30"/>
        </w:rPr>
        <w:t xml:space="preserve">Block A — Business / Operating Risk</w:t>
      </w:r>
    </w:p>
    <w:p>
      <w:pPr>
        <w:spacing w:after="120"/>
      </w:pPr>
      <w:r>
        <w:rPr>
          <w:i/>
          <w:iCs/>
          <w:sz w:val="20"/>
          <w:szCs w:val="20"/>
        </w:rPr>
        <w:t xml:space="preserve">Feeds CORE v2.0 Sections 3.1–3.6.</w:t>
      </w:r>
    </w:p>
    <w:p>
      <w:pPr>
        <w:pStyle w:val="Heading3"/>
        <w:spacing w:after="110" w:before="240"/>
      </w:pPr>
      <w:r>
        <w:rPr>
          <w:b/>
          <w:bCs/>
          <w:color w:val="4472C4"/>
          <w:sz w:val="21"/>
          <w:szCs w:val="21"/>
        </w:rPr>
        <w:t xml:space="preserve">A.1  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Project / SPV name</w:t>
            </w:r>
            <w:r>
              <w:t xml:space="preserve"> </w:t>
            </w:r>
            <w:r>
              <w:rPr>
                <w:rFonts w:ascii="Consolas" w:cs="Consolas" w:eastAsia="Consolas" w:hAnsi="Consolas"/>
                <w:color w:val="7030A0"/>
                <w:sz w:val="17"/>
                <w:szCs w:val="17"/>
              </w:rPr>
              <w:t xml:space="preserve">{project_name}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Vayu Renewables Mid Wind SPV Private Limited</w:t>
            </w:r>
          </w:p>
        </w:tc>
      </w:tr>
      <w:tr>
        <w:tc>
          <w:tcPr>
            <w:tcW w:type="dxa" w:w="6120"/>
            <w:tcMar>
              <w:top w:type="dxa" w:w="90"/>
              <w:left w:type="dxa" w:w="110"/>
              <w:bottom w:type="dxa" w:w="90"/>
              <w:right w:type="dxa" w:w="110"/>
            </w:tcMar>
          </w:tcPr>
          <w:p>
            <w:pPr>
              <w:spacing w:after="0"/>
            </w:pPr>
            <w:r>
              <w:rPr>
                <w:b/>
                <w:bCs/>
                <w:color w:val="9C0006"/>
              </w:rPr>
              <w:t xml:space="preserve">[CRITICAL]  Technology type</w:t>
            </w:r>
            <w:r>
              <w:rPr>
                <w:color w:val="9C0006"/>
              </w:rPr>
              <w:t xml:space="preserve"> </w:t>
            </w:r>
            <w:r>
              <w:rPr>
                <w:rFonts w:ascii="Consolas" w:cs="Consolas" w:eastAsia="Consolas" w:hAnsi="Consolas"/>
                <w:color w:val="7030A0"/>
                <w:sz w:val="17"/>
                <w:szCs w:val="17"/>
              </w:rPr>
              <w:t xml:space="preserve">{technology_type}</w:t>
            </w:r>
            <w:r>
              <w:rPr>
                <w:color w:val="9C0006"/>
              </w:rPr>
              <w:t xml:space="preserve"> </w:t>
            </w:r>
            <w:r>
              <w:rPr>
                <w:i/>
                <w:iCs/>
                <w:color w:val="9C0006"/>
              </w:rPr>
              <w:t xml:space="preserve">Select one — `TECH_SOLAR` Solar PV · `TECH_WIND` Wind · `TECH_HYBRID` Solar + Wind Hybrid. Selects the DSCR threshold set at CORE §4.0 (Set S, W or H). A null suppresses the rating. </w:t>
            </w:r>
            <w:r>
              <w:rPr>
                <w:i/>
                <w:iCs/>
                <w:color w:val="9C0006"/>
              </w:rPr>
              <w:t xml:space="preserve">This template is the source of truth for this field</w:t>
            </w:r>
            <w:r>
              <w:rPr>
                <w:i/>
                <w:iCs/>
                <w:color w:val="9C0006"/>
              </w:rPr>
              <w:t xml:space="preserve">; Template 2 displays it read-only and CORE V13 blocks a mismatch.</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TECH_WIND</w:t>
            </w:r>
          </w:p>
        </w:tc>
      </w:tr>
      <w:tr>
        <w:tc>
          <w:tcPr>
            <w:tcW w:type="dxa" w:w="6120"/>
            <w:tcMar>
              <w:top w:type="dxa" w:w="90"/>
              <w:left w:type="dxa" w:w="110"/>
              <w:bottom w:type="dxa" w:w="90"/>
              <w:right w:type="dxa" w:w="110"/>
            </w:tcMar>
          </w:tcPr>
          <w:p>
            <w:pPr>
              <w:spacing w:after="0"/>
            </w:pPr>
            <w:r>
              <w:rPr>
                <w:b/>
                <w:bCs/>
                <w:color w:val="9C0006"/>
              </w:rPr>
              <w:t xml:space="preserve">[CRITICAL]  Project status</w:t>
            </w:r>
            <w:r>
              <w:rPr>
                <w:color w:val="9C0006"/>
              </w:rPr>
              <w:t xml:space="preserve"> </w:t>
            </w:r>
            <w:r>
              <w:rPr>
                <w:rFonts w:ascii="Consolas" w:cs="Consolas" w:eastAsia="Consolas" w:hAnsi="Consolas"/>
                <w:color w:val="7030A0"/>
                <w:sz w:val="17"/>
                <w:szCs w:val="17"/>
              </w:rPr>
              <w:t xml:space="preserve">{project_status}</w:t>
            </w:r>
            <w:r>
              <w:rPr>
                <w:color w:val="9C0006"/>
              </w:rPr>
              <w:t xml:space="preserve"> </w:t>
            </w:r>
            <w:r>
              <w:rPr>
                <w:i/>
                <w:iCs/>
                <w:color w:val="9C0006"/>
              </w:rPr>
              <w:t xml:space="preserve">Select one — `STATUS_OPERATING` Operating · `STATUS_PRECOD` Under Construction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STATUS_OPERATING</w:t>
            </w:r>
          </w:p>
        </w:tc>
      </w:tr>
      <w:tr>
        <w:tc>
          <w:tcPr>
            <w:tcW w:type="dxa" w:w="6120"/>
            <w:tcMar>
              <w:top w:type="dxa" w:w="90"/>
              <w:left w:type="dxa" w:w="110"/>
              <w:bottom w:type="dxa" w:w="90"/>
              <w:right w:type="dxa" w:w="110"/>
            </w:tcMar>
          </w:tcPr>
          <w:p>
            <w:pPr>
              <w:spacing w:after="0"/>
            </w:pPr>
            <w:r>
              <w:rPr>
                <w:b/>
                <w:bCs/>
                <w:color w:val="9C0006"/>
              </w:rPr>
              <w:t xml:space="preserve">[CRITICAL]  Commercial operation date (COD)</w:t>
            </w:r>
            <w:r>
              <w:rPr>
                <w:color w:val="9C0006"/>
              </w:rPr>
              <w:t xml:space="preserve"> </w:t>
            </w:r>
            <w:r>
              <w:rPr>
                <w:rFonts w:ascii="Consolas" w:cs="Consolas" w:eastAsia="Consolas" w:hAnsi="Consolas"/>
                <w:color w:val="7030A0"/>
                <w:sz w:val="17"/>
                <w:szCs w:val="17"/>
              </w:rPr>
              <w:t xml:space="preserve">{cod_date}</w:t>
            </w:r>
            <w:r>
              <w:rPr>
                <w:color w:val="9C0006"/>
              </w:rPr>
              <w:t xml:space="preserve"> </w:t>
            </w:r>
            <w:r>
              <w:rPr>
                <w:i/>
                <w:iCs/>
                <w:color w:val="9C0006"/>
              </w:rPr>
              <w:t xml:space="preserve">Actual date if operating; expected date if pre-COD. Format DD-MM-YYYY. Required for the ramp-up test at CORE §7.3 and for V11.</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2025-05-30</w:t>
            </w:r>
          </w:p>
        </w:tc>
      </w:tr>
      <w:tr>
        <w:tc>
          <w:tcPr>
            <w:tcW w:type="dxa" w:w="6120"/>
            <w:tcMar>
              <w:top w:type="dxa" w:w="90"/>
              <w:left w:type="dxa" w:w="110"/>
              <w:bottom w:type="dxa" w:w="90"/>
              <w:right w:type="dxa" w:w="110"/>
            </w:tcMar>
          </w:tcPr>
          <w:p>
            <w:pPr>
              <w:spacing w:after="0"/>
            </w:pPr>
            <w:r>
              <w:rPr>
                <w:b/>
                <w:bCs/>
                <w:color w:val="9C0006"/>
              </w:rPr>
              <w:t xml:space="preserve">[CRITICAL]  Calculation date for this assessment</w:t>
            </w:r>
            <w:r>
              <w:rPr>
                <w:color w:val="9C0006"/>
              </w:rPr>
              <w:t xml:space="preserve"> </w:t>
            </w:r>
            <w:r>
              <w:rPr>
                <w:rFonts w:ascii="Consolas" w:cs="Consolas" w:eastAsia="Consolas" w:hAnsi="Consolas"/>
                <w:color w:val="7030A0"/>
                <w:sz w:val="17"/>
                <w:szCs w:val="17"/>
              </w:rPr>
              <w:t xml:space="preserve">{calculation_date}</w:t>
            </w:r>
            <w:r>
              <w:rPr>
                <w:color w:val="9C0006"/>
              </w:rPr>
              <w:t xml:space="preserve"> </w:t>
            </w:r>
            <w:r>
              <w:rPr>
                <w:i/>
                <w:iCs/>
                <w:color w:val="9C0006"/>
              </w:rPr>
              <w:t xml:space="preserve">Format DD-MM-YYYY. </w:t>
            </w:r>
            <w:r>
              <w:rPr>
                <w:i/>
                <w:iCs/>
                <w:color w:val="9C0006"/>
              </w:rPr>
              <w:t xml:space="preserve">Critical from v3.0</w:t>
            </w:r>
            <w:r>
              <w:rPr>
                <w:i/>
                <w:iCs/>
                <w:color w:val="9C0006"/>
              </w:rPr>
              <w:t xml:space="preserve"> (QA finding m19): V11 is a blocking rule that cannot run without it, and every remaining-tenor figure is measured from it. </w:t>
            </w:r>
            <w:r>
              <w:rPr>
                <w:i/>
                <w:iCs/>
                <w:color w:val="9C0006"/>
              </w:rPr>
              <w:t xml:space="preserve">This template is the source of truth</w:t>
            </w:r>
            <w:r>
              <w:rPr>
                <w:i/>
                <w:iCs/>
                <w:color w:val="9C0006"/>
              </w:rPr>
              <w:t xml:space="preserve">; Template 2 displays it read-only.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2026-07-30</w:t>
            </w:r>
          </w:p>
        </w:tc>
      </w:tr>
      <w:tr>
        <w:tc>
          <w:tcPr>
            <w:tcW w:type="dxa" w:w="6120"/>
            <w:tcMar>
              <w:top w:type="dxa" w:w="90"/>
              <w:left w:type="dxa" w:w="110"/>
              <w:bottom w:type="dxa" w:w="90"/>
              <w:right w:type="dxa" w:w="110"/>
            </w:tcMar>
          </w:tcPr>
          <w:p>
            <w:pPr>
              <w:spacing w:after="0"/>
            </w:pPr>
            <w:r>
              <w:rPr>
                <w:b/>
                <w:bCs/>
              </w:rPr>
              <w:t xml:space="preserve">Installed capacity (MW AC)</w:t>
            </w:r>
            <w:r>
              <w:t xml:space="preserve"> </w:t>
            </w:r>
            <w:r>
              <w:rPr>
                <w:rFonts w:ascii="Consolas" w:cs="Consolas" w:eastAsia="Consolas" w:hAnsi="Consolas"/>
                <w:color w:val="7030A0"/>
                <w:sz w:val="17"/>
                <w:szCs w:val="17"/>
              </w:rPr>
              <w:t xml:space="preserve">{installed_capacity_mw_ac}</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150</w:t>
            </w:r>
          </w:p>
        </w:tc>
      </w:tr>
    </w:tbl>
    <w:p>
      <w:pPr>
        <w:spacing w:after="140"/>
      </w:pPr>
      <w:r>
        <w:t xml:space="preserve"/>
      </w:r>
    </w:p>
    <w:p>
      <w:pPr>
        <w:pStyle w:val="Heading3"/>
        <w:spacing w:after="110" w:before="240"/>
      </w:pPr>
      <w:r>
        <w:rPr>
          <w:b/>
          <w:bCs/>
          <w:color w:val="4472C4"/>
          <w:sz w:val="21"/>
          <w:szCs w:val="21"/>
        </w:rPr>
        <w:t xml:space="preserve">A.2  Market Position, Offtake and Contractedness</w:t>
      </w:r>
    </w:p>
    <w:p>
      <w:pPr>
        <w:spacing w:after="120"/>
      </w:pPr>
      <w:r>
        <w:rPr>
          <w:i/>
          <w:iCs/>
          <w:sz w:val="20"/>
          <w:szCs w:val="20"/>
        </w:rPr>
        <w:t xml:space="preserve">Feeds CORE §3.1.1 (competitive position, 4 pts) and §3.2 (contractedness and price/volume risk, 13 pts). Offtaker credit quality is captured at Section N,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Competitive and essentiality position</w:t>
            </w:r>
            <w:r>
              <w:t xml:space="preserve"> </w:t>
            </w:r>
            <w:r>
              <w:rPr>
                <w:rFonts w:ascii="Consolas" w:cs="Consolas" w:eastAsia="Consolas" w:hAnsi="Consolas"/>
                <w:color w:val="7030A0"/>
                <w:sz w:val="17"/>
                <w:szCs w:val="17"/>
              </w:rPr>
              <w:t xml:space="preserve">{competitive_position}</w:t>
            </w:r>
            <w:r>
              <w:t xml:space="preserve"> </w:t>
            </w:r>
            <w:r>
              <w:rPr>
                <w:i/>
                <w:iCs/>
              </w:rPr>
              <w:t xml:space="preserve">Select one (CORE Appendix A, `COMP_POS_5`):</w:t>
            </w:r>
            <w:r>
              <w:t xml:space="preserve"> </w:t>
            </w:r>
            <w:r>
              <w:rPr>
                <w:rFonts w:ascii="Consolas" w:cs="Consolas" w:eastAsia="Consolas" w:hAnsi="Consolas"/>
                <w:color w:val="7030A0"/>
                <w:sz w:val="17"/>
                <w:szCs w:val="17"/>
              </w:rPr>
              <w:t xml:space="preserve">COMP_POS_5</w:t>
            </w:r>
            <w:r>
              <w:t xml:space="preserve"> </w:t>
            </w:r>
            <w:r>
              <w:rPr>
                <w:i/>
                <w:iCs/>
              </w:rPr>
              <w:t xml:space="preserve">No economically viable substitute for the offtaker for this volume; tariff at or below the comparable auction benchmark</w:t>
            </w:r>
            <w:r>
              <w:t xml:space="preserve"> · </w:t>
            </w:r>
            <w:r>
              <w:rPr>
                <w:rFonts w:ascii="Consolas" w:cs="Consolas" w:eastAsia="Consolas" w:hAnsi="Consolas"/>
                <w:color w:val="7030A0"/>
                <w:sz w:val="17"/>
                <w:szCs w:val="17"/>
              </w:rPr>
              <w:t xml:space="preserve">COMP_POS_4</w:t>
            </w:r>
            <w:r>
              <w:t xml:space="preserve"> </w:t>
            </w:r>
            <w:r>
              <w:rPr>
                <w:i/>
                <w:iCs/>
              </w:rPr>
              <w:t xml:space="preserve">Substitutes exist but switching is costly or slow; tariff at or below the benchmark</w:t>
            </w:r>
            <w:r>
              <w:t xml:space="preserve"> · </w:t>
            </w:r>
            <w:r>
              <w:rPr>
                <w:rFonts w:ascii="Consolas" w:cs="Consolas" w:eastAsia="Consolas" w:hAnsi="Consolas"/>
                <w:color w:val="7030A0"/>
                <w:sz w:val="17"/>
                <w:szCs w:val="17"/>
              </w:rPr>
              <w:t xml:space="preserve">COMP_POS_3</w:t>
            </w:r>
            <w:r>
              <w:t xml:space="preserve"> </w:t>
            </w:r>
            <w:r>
              <w:rPr>
                <w:i/>
                <w:iCs/>
              </w:rPr>
              <w:t xml:space="preserve">Substitutes readily available; tariff within 10% above the benchmark</w:t>
            </w:r>
            <w:r>
              <w:t xml:space="preserve"> · </w:t>
            </w:r>
            <w:r>
              <w:rPr>
                <w:rFonts w:ascii="Consolas" w:cs="Consolas" w:eastAsia="Consolas" w:hAnsi="Consolas"/>
                <w:color w:val="7030A0"/>
                <w:sz w:val="17"/>
                <w:szCs w:val="17"/>
              </w:rPr>
              <w:t xml:space="preserve">COMP_POS_2</w:t>
            </w:r>
            <w:r>
              <w:t xml:space="preserve"> </w:t>
            </w:r>
            <w:r>
              <w:rPr>
                <w:i/>
                <w:iCs/>
              </w:rPr>
              <w:t xml:space="preserve">Substitutes readily available; tariff more than 10% above the benchmark</w:t>
            </w:r>
            <w:r>
              <w:t xml:space="preserve"> · </w:t>
            </w:r>
            <w:r>
              <w:rPr>
                <w:rFonts w:ascii="Consolas" w:cs="Consolas" w:eastAsia="Consolas" w:hAnsi="Consolas"/>
                <w:color w:val="7030A0"/>
                <w:sz w:val="17"/>
                <w:szCs w:val="17"/>
              </w:rPr>
              <w:t xml:space="preserve">COMP_POS_1</w:t>
            </w:r>
            <w:r>
              <w:t xml:space="preserve"> </w:t>
            </w:r>
            <w:r>
              <w:rPr>
                <w:i/>
                <w:iCs/>
              </w:rPr>
              <w:t xml:space="preserve">Offtake position expected to erode within the remaining debt tenor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COMP_POS_4</w:t>
            </w:r>
          </w:p>
        </w:tc>
      </w:tr>
      <w:tr>
        <w:tc>
          <w:tcPr>
            <w:tcW w:type="dxa" w:w="6120"/>
            <w:tcMar>
              <w:top w:type="dxa" w:w="90"/>
              <w:left w:type="dxa" w:w="110"/>
              <w:bottom w:type="dxa" w:w="90"/>
              <w:right w:type="dxa" w:w="110"/>
            </w:tcMar>
          </w:tcPr>
          <w:p>
            <w:pPr>
              <w:spacing w:after="0"/>
            </w:pPr>
            <w:r>
              <w:rPr>
                <w:b/>
                <w:bCs/>
              </w:rPr>
              <w:t xml:space="preserve">Auction benchmark used for the comparison above</w:t>
            </w:r>
            <w:r>
              <w:t xml:space="preserve"> </w:t>
            </w:r>
            <w:r>
              <w:rPr>
                <w:i/>
                <w:iCs/>
              </w:rPr>
              <w:t xml:space="preserve">Name the most recent comparable central or state auction and its discovered tariff (INR/kWh) and date.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Contracted revenue share</w:t>
            </w:r>
            <w:r>
              <w:rPr>
                <w:color w:val="9C0006"/>
              </w:rPr>
              <w:t xml:space="preserve"> </w:t>
            </w:r>
            <w:r>
              <w:rPr>
                <w:rFonts w:ascii="Consolas" w:cs="Consolas" w:eastAsia="Consolas" w:hAnsi="Consolas"/>
                <w:color w:val="7030A0"/>
                <w:sz w:val="17"/>
                <w:szCs w:val="17"/>
              </w:rPr>
              <w:t xml:space="preserve">{contracted_revenue_share}</w:t>
            </w:r>
            <w:r>
              <w:rPr>
                <w:color w:val="9C0006"/>
              </w:rPr>
              <w:t xml:space="preserve"> *</w:t>
            </w:r>
            <w:r>
              <w:rPr>
                <w:b/>
                <w:bCs/>
                <w:color w:val="9C0006"/>
              </w:rPr>
              <w:t xml:space="preserve">Decimal fraction</w:t>
            </w:r>
            <w:r>
              <w:rPr>
                <w:i/>
                <w:iCs/>
                <w:color w:val="9C0006"/>
              </w:rPr>
              <w:t xml:space="preserve"> </w:t>
            </w:r>
            <w:r>
              <w:rPr>
                <w:color w:val="9C0006"/>
              </w:rPr>
              <w:t xml:space="preserve">— 0.9700 for 97%. Revenue under executed PPAs as a fraction of total projected revenue, measured over the remaining tenor of the rated debt: a </w:t>
            </w:r>
            <w:r>
              <w:rPr>
                <w:b/>
                <w:bCs/>
                <w:color w:val="9C0006"/>
              </w:rPr>
              <w:t xml:space="preserve">revenue-weighted average across the tenor</w:t>
            </w:r>
            <w:r>
              <w:rPr>
                <w:color w:val="9C0006"/>
              </w:rPr>
              <w:t xml:space="preserve">. Drives the merchant test at CORE §4.0 and nothing in the §3.2.1 table. Merchant exposure is </w:t>
            </w:r>
            <w:r>
              <w:rPr>
                <w:b/>
                <w:bCs/>
                <w:color w:val="9C0006"/>
              </w:rPr>
              <w:t xml:space="preserve">derived</w:t>
            </w:r>
            <w:r>
              <w:rPr>
                <w:color w:val="9C0006"/>
              </w:rPr>
              <w:t xml:space="preserve"> by the engine as 1 − this figure and is never entered anywhere.*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0.88</w:t>
            </w:r>
          </w:p>
        </w:tc>
      </w:tr>
      <w:tr>
        <w:tc>
          <w:tcPr>
            <w:tcW w:type="dxa" w:w="6120"/>
            <w:tcMar>
              <w:top w:type="dxa" w:w="90"/>
              <w:left w:type="dxa" w:w="110"/>
              <w:bottom w:type="dxa" w:w="90"/>
              <w:right w:type="dxa" w:w="110"/>
            </w:tcMar>
          </w:tcPr>
          <w:p>
            <w:pPr>
              <w:spacing w:after="0"/>
            </w:pPr>
            <w:r>
              <w:rPr>
                <w:b/>
                <w:bCs/>
              </w:rPr>
              <w:t xml:space="preserve">Remaining contracted tenor (years)</w:t>
            </w:r>
            <w:r>
              <w:t xml:space="preserve"> </w:t>
            </w:r>
            <w:r>
              <w:rPr>
                <w:rFonts w:ascii="Consolas" w:cs="Consolas" w:eastAsia="Consolas" w:hAnsi="Consolas"/>
                <w:color w:val="7030A0"/>
                <w:sz w:val="17"/>
                <w:szCs w:val="17"/>
              </w:rPr>
              <w:t xml:space="preserve">{remaining_contracted_tenor_years}</w:t>
            </w:r>
            <w:r>
              <w:t xml:space="preserve"> </w:t>
            </w:r>
            <w:r>
              <w:rPr>
                <w:i/>
                <w:iCs/>
              </w:rPr>
              <w:t xml:space="preserve">To two decimal places, from the calculation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16.5</w:t>
            </w:r>
          </w:p>
        </w:tc>
      </w:tr>
      <w:tr>
        <w:tc>
          <w:tcPr>
            <w:tcW w:type="dxa" w:w="6120"/>
            <w:tcMar>
              <w:top w:type="dxa" w:w="90"/>
              <w:left w:type="dxa" w:w="110"/>
              <w:bottom w:type="dxa" w:w="90"/>
              <w:right w:type="dxa" w:w="110"/>
            </w:tcMar>
          </w:tcPr>
          <w:p>
            <w:pPr>
              <w:spacing w:after="0"/>
            </w:pPr>
            <w:r>
              <w:rPr>
                <w:b/>
                <w:bCs/>
              </w:rPr>
              <w:t xml:space="preserve">Remaining tenor of the rated debt (years)</w:t>
            </w:r>
            <w:r>
              <w:t xml:space="preserve"> </w:t>
            </w:r>
            <w:r>
              <w:rPr>
                <w:rFonts w:ascii="Consolas" w:cs="Consolas" w:eastAsia="Consolas" w:hAnsi="Consolas"/>
                <w:color w:val="7030A0"/>
                <w:sz w:val="17"/>
                <w:szCs w:val="17"/>
              </w:rPr>
              <w:t xml:space="preserve">{remaining_debt_tenor_years}</w:t>
            </w:r>
            <w:r>
              <w:t xml:space="preserve"> </w:t>
            </w:r>
            <w:r>
              <w:rPr>
                <w:i/>
                <w:iCs/>
              </w:rPr>
              <w:t xml:space="preserve">To two decimal places, from the calculation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14</w:t>
            </w:r>
          </w:p>
        </w:tc>
      </w:tr>
      <w:tr>
        <w:tc>
          <w:tcPr>
            <w:tcW w:type="dxa" w:w="6120"/>
            <w:tcMar>
              <w:top w:type="dxa" w:w="90"/>
              <w:left w:type="dxa" w:w="110"/>
              <w:bottom w:type="dxa" w:w="90"/>
              <w:right w:type="dxa" w:w="110"/>
            </w:tcMar>
          </w:tcPr>
          <w:p>
            <w:pPr>
              <w:spacing w:after="0"/>
            </w:pPr>
            <w:r>
              <w:rPr>
                <w:b/>
                <w:bCs/>
              </w:rPr>
              <w:t xml:space="preserve">Contracted share held for the full remaining debt tenor</w:t>
            </w:r>
            <w:r>
              <w:t xml:space="preserve"> </w:t>
            </w:r>
            <w:r>
              <w:rPr>
                <w:rFonts w:ascii="Consolas" w:cs="Consolas" w:eastAsia="Consolas" w:hAnsi="Consolas"/>
                <w:color w:val="7030A0"/>
                <w:sz w:val="17"/>
                <w:szCs w:val="17"/>
              </w:rPr>
              <w:t xml:space="preserve">{contracted_share_full_tenor}</w:t>
            </w:r>
            <w:r>
              <w:t xml:space="preserve"> *</w:t>
            </w:r>
            <w:r>
              <w:rPr>
                <w:b/>
                <w:bCs/>
              </w:rPr>
              <w:t xml:space="preserve">Decimal fraction.</w:t>
            </w:r>
            <w:r>
              <w:rPr>
                <w:i/>
                <w:iCs/>
              </w:rPr>
              <w:t xml:space="preserve"> </w:t>
            </w:r>
            <w:r>
              <w:t xml:space="preserve">The fraction of projected revenue contracted </w:t>
            </w:r>
            <w:r>
              <w:rPr>
                <w:b/>
                <w:bCs/>
              </w:rPr>
              <w:t xml:space="preserve">all the way to final debt maturity</w:t>
            </w:r>
            <w:r>
              <w:t xml:space="preserve">. Drives rows 1, 3, 4 and 5 at CORE §3.2.1. This is a different quantity from the revenue-weighted share above and the engine does not substitute one for the other.*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0.88</w:t>
            </w:r>
          </w:p>
        </w:tc>
      </w:tr>
      <w:tr>
        <w:tc>
          <w:tcPr>
            <w:tcW w:type="dxa" w:w="6120"/>
            <w:tcMar>
              <w:top w:type="dxa" w:w="90"/>
              <w:left w:type="dxa" w:w="110"/>
              <w:bottom w:type="dxa" w:w="90"/>
              <w:right w:type="dxa" w:w="110"/>
            </w:tcMar>
          </w:tcPr>
          <w:p>
            <w:pPr>
              <w:spacing w:after="0"/>
            </w:pPr>
            <w:r>
              <w:rPr>
                <w:b/>
                <w:bCs/>
              </w:rPr>
              <w:t xml:space="preserve">Contracted share held for at least 75% of the remaining debt tenor</w:t>
            </w:r>
            <w:r>
              <w:t xml:space="preserve"> </w:t>
            </w:r>
            <w:r>
              <w:rPr>
                <w:rFonts w:ascii="Consolas" w:cs="Consolas" w:eastAsia="Consolas" w:hAnsi="Consolas"/>
                <w:color w:val="7030A0"/>
                <w:sz w:val="17"/>
                <w:szCs w:val="17"/>
              </w:rPr>
              <w:t xml:space="preserve">{contracted_share_75pc_tenor}</w:t>
            </w:r>
            <w:r>
              <w:t xml:space="preserve"> *</w:t>
            </w:r>
            <w:r>
              <w:rPr>
                <w:b/>
                <w:bCs/>
              </w:rPr>
              <w:t xml:space="preserve">Decimal fraction.</w:t>
            </w:r>
            <w:r>
              <w:rPr>
                <w:i/>
                <w:iCs/>
              </w:rPr>
              <w:t xml:space="preserve"> </w:t>
            </w:r>
            <w:r>
              <w:rPr>
                <w:b/>
                <w:bCs/>
              </w:rPr>
              <w:t xml:space="preserve">New in v3.0</w:t>
            </w:r>
            <w:r>
              <w:rPr>
                <w:i/>
                <w:iCs/>
              </w:rPr>
              <w:t xml:space="preserve"> </w:t>
            </w:r>
            <w:r>
              <w:t xml:space="preserve">(QA finding M11). The fraction of projected revenue contracted for at least three-quarters of the remaining debt tenor. Drives the </w:t>
            </w:r>
            <w:r>
              <w:rPr>
                <w:b/>
                <w:bCs/>
              </w:rPr>
              <w:t xml:space="preserve">second limb of row 2</w:t>
            </w:r>
            <w:r>
              <w:t xml:space="preserve"> at CORE §3.2.1 and nothing else. v2.0's criteria contained this test but no template collected the figure, so the 6-point row was unreachable through that limb wherever PPAs had differing tenors.*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0.92</w:t>
            </w:r>
          </w:p>
        </w:tc>
      </w:tr>
      <w:tr>
        <w:tc>
          <w:tcPr>
            <w:tcW w:type="dxa" w:w="6120"/>
            <w:tcMar>
              <w:top w:type="dxa" w:w="90"/>
              <w:left w:type="dxa" w:w="110"/>
              <w:bottom w:type="dxa" w:w="90"/>
              <w:right w:type="dxa" w:w="110"/>
            </w:tcMar>
          </w:tcPr>
          <w:p>
            <w:pPr>
              <w:spacing w:after="0"/>
            </w:pPr>
            <w:r>
              <w:rPr>
                <w:b/>
                <w:bCs/>
              </w:rPr>
              <w:t xml:space="preserve">Price and volume risk within the contracted portion</w:t>
            </w:r>
            <w:r>
              <w:t xml:space="preserve"> </w:t>
            </w:r>
            <w:r>
              <w:rPr>
                <w:rFonts w:ascii="Consolas" w:cs="Consolas" w:eastAsia="Consolas" w:hAnsi="Consolas"/>
                <w:color w:val="7030A0"/>
                <w:sz w:val="17"/>
                <w:szCs w:val="17"/>
              </w:rPr>
              <w:t xml:space="preserve">{price_volume_risk}</w:t>
            </w:r>
            <w:r>
              <w:t xml:space="preserve"> </w:t>
            </w:r>
            <w:r>
              <w:rPr>
                <w:i/>
                <w:iCs/>
              </w:rPr>
              <w:t xml:space="preserve">Select one (`PRICE_VOL_5`):</w:t>
            </w:r>
            <w:r>
              <w:t xml:space="preserve"> </w:t>
            </w:r>
            <w:r>
              <w:rPr>
                <w:rFonts w:ascii="Consolas" w:cs="Consolas" w:eastAsia="Consolas" w:hAnsi="Consolas"/>
                <w:color w:val="7030A0"/>
                <w:sz w:val="17"/>
                <w:szCs w:val="17"/>
              </w:rPr>
              <w:t xml:space="preserve">PRICE_VOL_5</w:t>
            </w:r>
            <w:r>
              <w:t xml:space="preserve"> </w:t>
            </w:r>
            <w:r>
              <w:rPr>
                <w:i/>
                <w:iCs/>
              </w:rPr>
              <w:t xml:space="preserve">Fixed or pre-defined escalating tariff, with a take-or-pay or deemed-generation provision </w:t>
            </w:r>
            <w:r>
              <w:rPr>
                <w:i/>
                <w:iCs/>
              </w:rPr>
              <w:t xml:space="preserve">and</w:t>
            </w:r>
            <w:r>
              <w:rPr>
                <w:i/>
                <w:iCs/>
              </w:rPr>
              <w:t xml:space="preserve"> a defined termination payment</w:t>
            </w:r>
            <w:r>
              <w:t xml:space="preserve"> · </w:t>
            </w:r>
            <w:r>
              <w:rPr>
                <w:rFonts w:ascii="Consolas" w:cs="Consolas" w:eastAsia="Consolas" w:hAnsi="Consolas"/>
                <w:color w:val="7030A0"/>
                <w:sz w:val="17"/>
                <w:szCs w:val="17"/>
              </w:rPr>
              <w:t xml:space="preserve">PRICE_VOL_4</w:t>
            </w:r>
            <w:r>
              <w:t xml:space="preserve"> </w:t>
            </w:r>
            <w:r>
              <w:rPr>
                <w:i/>
                <w:iCs/>
              </w:rPr>
              <w:t xml:space="preserve">…with one of the two but not both</w:t>
            </w:r>
            <w:r>
              <w:t xml:space="preserve"> · </w:t>
            </w:r>
            <w:r>
              <w:rPr>
                <w:rFonts w:ascii="Consolas" w:cs="Consolas" w:eastAsia="Consolas" w:hAnsi="Consolas"/>
                <w:color w:val="7030A0"/>
                <w:sz w:val="17"/>
                <w:szCs w:val="17"/>
              </w:rPr>
              <w:t xml:space="preserve">PRICE_VOL_3</w:t>
            </w:r>
            <w:r>
              <w:t xml:space="preserve"> </w:t>
            </w:r>
            <w:r>
              <w:rPr>
                <w:i/>
                <w:iCs/>
              </w:rPr>
              <w:t xml:space="preserve">…with neither</w:t>
            </w:r>
            <w:r>
              <w:t xml:space="preserve"> · </w:t>
            </w:r>
            <w:r>
              <w:rPr>
                <w:rFonts w:ascii="Consolas" w:cs="Consolas" w:eastAsia="Consolas" w:hAnsi="Consolas"/>
                <w:color w:val="7030A0"/>
                <w:sz w:val="17"/>
                <w:szCs w:val="17"/>
              </w:rPr>
              <w:t xml:space="preserve">PRICE_VOL_2</w:t>
            </w:r>
            <w:r>
              <w:t xml:space="preserve"> </w:t>
            </w:r>
            <w:r>
              <w:rPr>
                <w:i/>
                <w:iCs/>
              </w:rPr>
              <w:t xml:space="preserve">Tariff partly indexed to a merchant or market reference</w:t>
            </w:r>
            <w:r>
              <w:t xml:space="preserve"> · </w:t>
            </w:r>
            <w:r>
              <w:rPr>
                <w:rFonts w:ascii="Consolas" w:cs="Consolas" w:eastAsia="Consolas" w:hAnsi="Consolas"/>
                <w:color w:val="7030A0"/>
                <w:sz w:val="17"/>
                <w:szCs w:val="17"/>
              </w:rPr>
              <w:t xml:space="preserve">PRICE_VOL_1</w:t>
            </w:r>
            <w:r>
              <w:t xml:space="preserve"> </w:t>
            </w:r>
            <w:r>
              <w:rPr>
                <w:i/>
                <w:iCs/>
              </w:rPr>
              <w:t xml:space="preserve">Tariff wholly merchant or market-linked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PRICE_VOL_4</w:t>
            </w:r>
          </w:p>
        </w:tc>
      </w:tr>
      <w:tr>
        <w:tc>
          <w:tcPr>
            <w:tcW w:type="dxa" w:w="6120"/>
            <w:tcMar>
              <w:top w:type="dxa" w:w="90"/>
              <w:left w:type="dxa" w:w="110"/>
              <w:bottom w:type="dxa" w:w="90"/>
              <w:right w:type="dxa" w:w="110"/>
            </w:tcMar>
          </w:tcPr>
          <w:p>
            <w:pPr>
              <w:spacing w:after="0"/>
            </w:pPr>
            <w:r>
              <w:rPr>
                <w:b/>
                <w:bCs/>
              </w:rPr>
              <w:t xml:space="preserve">PPA / offtake key terms summary</w:t>
            </w:r>
            <w:r>
              <w:t xml:space="preserve"> </w:t>
            </w:r>
            <w:r>
              <w:rPr>
                <w:i/>
                <w:iCs/>
              </w:rPr>
              <w:t xml:space="preserve">Tariff structure, escalation mechanism, take-or-pay and deemed-generation wording, termination-payment formula.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A.3  Permitting Status</w:t>
      </w:r>
    </w:p>
    <w:p>
      <w:pPr>
        <w:spacing w:after="120"/>
      </w:pPr>
      <w:r>
        <w:rPr>
          <w:i/>
          <w:iCs/>
          <w:sz w:val="20"/>
          <w:szCs w:val="20"/>
        </w:rPr>
        <w:t xml:space="preserve">Feeds CORE §3.1.2 (4 pts), scored deterministically from the combination of the three statuses below. For an operating project, each status is deemed Complete unless a live dispute or lapsed consent is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Land acquisition status</w:t>
            </w:r>
            <w:r>
              <w:t xml:space="preserve"> </w:t>
            </w:r>
            <w:r>
              <w:rPr>
                <w:rFonts w:ascii="Consolas" w:cs="Consolas" w:eastAsia="Consolas" w:hAnsi="Consolas"/>
                <w:color w:val="7030A0"/>
                <w:sz w:val="17"/>
                <w:szCs w:val="17"/>
              </w:rPr>
              <w:t xml:space="preserve">{land_acquisition_status}</w:t>
            </w:r>
            <w:r>
              <w:t xml:space="preserve"> </w:t>
            </w:r>
            <w:r>
              <w:rPr>
                <w:i/>
                <w:iCs/>
              </w:rPr>
              <w:t xml:space="preserve">Select one (`PERMIT_3`): `PERMIT_COMPLETE` · `PERMIT_IN_PROGRESS` · `PERMIT_NOT_STARTED`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PERMIT_COMPLETE</w:t>
            </w:r>
          </w:p>
        </w:tc>
      </w:tr>
      <w:tr>
        <w:tc>
          <w:tcPr>
            <w:tcW w:type="dxa" w:w="6120"/>
            <w:tcMar>
              <w:top w:type="dxa" w:w="90"/>
              <w:left w:type="dxa" w:w="110"/>
              <w:bottom w:type="dxa" w:w="90"/>
              <w:right w:type="dxa" w:w="110"/>
            </w:tcMar>
          </w:tcPr>
          <w:p>
            <w:pPr>
              <w:spacing w:after="0"/>
            </w:pPr>
            <w:r>
              <w:rPr>
                <w:b/>
                <w:bCs/>
              </w:rPr>
              <w:t xml:space="preserve">Transmission connectivity status</w:t>
            </w:r>
            <w:r>
              <w:t xml:space="preserve"> </w:t>
            </w:r>
            <w:r>
              <w:rPr>
                <w:rFonts w:ascii="Consolas" w:cs="Consolas" w:eastAsia="Consolas" w:hAnsi="Consolas"/>
                <w:color w:val="7030A0"/>
                <w:sz w:val="17"/>
                <w:szCs w:val="17"/>
              </w:rPr>
              <w:t xml:space="preserve">{transmission_connectivity_status}</w:t>
            </w:r>
            <w:r>
              <w:t xml:space="preserve"> </w:t>
            </w:r>
            <w:r>
              <w:rPr>
                <w:i/>
                <w:iCs/>
              </w:rPr>
              <w:t xml:space="preserve">Select one (`PERMIT_3`)</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PERMIT_COMPLETE</w:t>
            </w:r>
          </w:p>
        </w:tc>
      </w:tr>
      <w:tr>
        <w:tc>
          <w:tcPr>
            <w:tcW w:type="dxa" w:w="6120"/>
            <w:tcMar>
              <w:top w:type="dxa" w:w="90"/>
              <w:left w:type="dxa" w:w="110"/>
              <w:bottom w:type="dxa" w:w="90"/>
              <w:right w:type="dxa" w:w="110"/>
            </w:tcMar>
          </w:tcPr>
          <w:p>
            <w:pPr>
              <w:spacing w:after="0"/>
            </w:pPr>
            <w:r>
              <w:rPr>
                <w:b/>
                <w:bCs/>
              </w:rPr>
              <w:t xml:space="preserve">Statutory clearances status</w:t>
            </w:r>
            <w:r>
              <w:t xml:space="preserve"> </w:t>
            </w:r>
            <w:r>
              <w:rPr>
                <w:rFonts w:ascii="Consolas" w:cs="Consolas" w:eastAsia="Consolas" w:hAnsi="Consolas"/>
                <w:color w:val="7030A0"/>
                <w:sz w:val="17"/>
                <w:szCs w:val="17"/>
              </w:rPr>
              <w:t xml:space="preserve">{statutory_clearances_status}</w:t>
            </w:r>
            <w:r>
              <w:t xml:space="preserve"> </w:t>
            </w:r>
            <w:r>
              <w:rPr>
                <w:i/>
                <w:iCs/>
              </w:rPr>
              <w:t xml:space="preserve">Select one (`PERMIT_3`)</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PERMIT_COMPLETE</w:t>
            </w:r>
          </w:p>
        </w:tc>
      </w:tr>
      <w:tr>
        <w:tc>
          <w:tcPr>
            <w:tcW w:type="dxa" w:w="6120"/>
            <w:tcMar>
              <w:top w:type="dxa" w:w="90"/>
              <w:left w:type="dxa" w:w="110"/>
              <w:bottom w:type="dxa" w:w="90"/>
              <w:right w:type="dxa" w:w="110"/>
            </w:tcMar>
          </w:tcPr>
          <w:p>
            <w:pPr>
              <w:spacing w:after="0"/>
            </w:pPr>
            <w:r>
              <w:rPr>
                <w:b/>
                <w:bCs/>
              </w:rPr>
              <w:t xml:space="preserve">Live permitting dispute or lapsed consent</w:t>
            </w:r>
            <w:r>
              <w:t xml:space="preserve"> </w:t>
            </w:r>
            <w:r>
              <w:rPr>
                <w:rFonts w:ascii="Consolas" w:cs="Consolas" w:eastAsia="Consolas" w:hAnsi="Consolas"/>
                <w:color w:val="7030A0"/>
                <w:sz w:val="17"/>
                <w:szCs w:val="17"/>
              </w:rPr>
              <w:t xml:space="preserve">{permitting_dispute}</w:t>
            </w:r>
            <w:r>
              <w:t xml:space="preserve"> </w:t>
            </w:r>
            <w:r>
              <w:rPr>
                <w:i/>
                <w:iCs/>
              </w:rPr>
              <w:t xml:space="preserve">Select one (`DISPUTE_5`): `DISPUTE_NONE` · `DISPUTE_LAND` · `DISPUTE_TRANSMISSION` · `DISPUTE_STATUTORY` · `DISPUTE_MULTIPLE`. Any item named here is treated as In Progress even for an operating project.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DISPUTE_NONE</w:t>
            </w:r>
          </w:p>
        </w:tc>
      </w:tr>
      <w:tr>
        <w:tc>
          <w:tcPr>
            <w:tcW w:type="dxa" w:w="6120"/>
            <w:tcMar>
              <w:top w:type="dxa" w:w="90"/>
              <w:left w:type="dxa" w:w="110"/>
              <w:bottom w:type="dxa" w:w="90"/>
              <w:right w:type="dxa" w:w="110"/>
            </w:tcMar>
          </w:tcPr>
          <w:p>
            <w:pPr>
              <w:spacing w:after="0"/>
            </w:pPr>
            <w:r>
              <w:rPr>
                <w:b/>
                <w:bCs/>
              </w:rPr>
              <w:t xml:space="preserve">Permitting notes</w:t>
            </w:r>
            <w:r>
              <w:t xml:space="preserve"> </w:t>
            </w:r>
            <w:r>
              <w:rPr>
                <w:i/>
                <w:iCs/>
              </w:rPr>
              <w:t xml:space="preserve">One line per item that is not Complete, and detail of any dispute named above.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A.4  Regulatory Environment</w:t>
      </w:r>
    </w:p>
    <w:p>
      <w:pPr>
        <w:spacing w:after="120"/>
      </w:pPr>
      <w:r>
        <w:rPr>
          <w:i/>
          <w:iCs/>
          <w:sz w:val="20"/>
          <w:szCs w:val="20"/>
        </w:rPr>
        <w:t xml:space="preserve">Feeds CORE §3.1.3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Regulatory and tariff-policy stability</w:t>
            </w:r>
            <w:r>
              <w:t xml:space="preserve"> </w:t>
            </w:r>
            <w:r>
              <w:rPr>
                <w:rFonts w:ascii="Consolas" w:cs="Consolas" w:eastAsia="Consolas" w:hAnsi="Consolas"/>
                <w:color w:val="7030A0"/>
                <w:sz w:val="17"/>
                <w:szCs w:val="17"/>
              </w:rPr>
              <w:t xml:space="preserve">{regulatory_stability}</w:t>
            </w:r>
            <w:r>
              <w:t xml:space="preserve"> </w:t>
            </w:r>
            <w:r>
              <w:rPr>
                <w:i/>
                <w:iCs/>
              </w:rPr>
              <w:t xml:space="preserve">Select one (`REG_STAB_5`):</w:t>
            </w:r>
            <w:r>
              <w:t xml:space="preserve"> </w:t>
            </w:r>
            <w:r>
              <w:rPr>
                <w:rFonts w:ascii="Consolas" w:cs="Consolas" w:eastAsia="Consolas" w:hAnsi="Consolas"/>
                <w:color w:val="7030A0"/>
                <w:sz w:val="17"/>
                <w:szCs w:val="17"/>
              </w:rPr>
              <w:t xml:space="preserve">REG_STAB_5</w:t>
            </w:r>
            <w:r>
              <w:t xml:space="preserve"> </w:t>
            </w:r>
            <w:r>
              <w:rPr>
                <w:i/>
                <w:iCs/>
              </w:rPr>
              <w:t xml:space="preserve">Stable — no renegotiation attempt, retrospective charge or contested tariff order in the offtake state in five years, and RPO trajectory notified</w:t>
            </w:r>
            <w:r>
              <w:t xml:space="preserve"> · </w:t>
            </w:r>
            <w:r>
              <w:rPr>
                <w:rFonts w:ascii="Consolas" w:cs="Consolas" w:eastAsia="Consolas" w:hAnsi="Consolas"/>
                <w:color w:val="7030A0"/>
                <w:sz w:val="17"/>
                <w:szCs w:val="17"/>
              </w:rPr>
              <w:t xml:space="preserve">REG_STAB_4</w:t>
            </w:r>
            <w:r>
              <w:t xml:space="preserve"> </w:t>
            </w:r>
            <w:r>
              <w:rPr>
                <w:i/>
                <w:iCs/>
              </w:rPr>
              <w:t xml:space="preserve">Stable — routine tariff or true-up order pending, no adverse precedent</w:t>
            </w:r>
            <w:r>
              <w:t xml:space="preserve"> · </w:t>
            </w:r>
            <w:r>
              <w:rPr>
                <w:rFonts w:ascii="Consolas" w:cs="Consolas" w:eastAsia="Consolas" w:hAnsi="Consolas"/>
                <w:color w:val="7030A0"/>
                <w:sz w:val="17"/>
                <w:szCs w:val="17"/>
              </w:rPr>
              <w:t xml:space="preserve">REG_STAB_3</w:t>
            </w:r>
            <w:r>
              <w:t xml:space="preserve"> </w:t>
            </w:r>
            <w:r>
              <w:rPr>
                <w:i/>
                <w:iCs/>
              </w:rPr>
              <w:t xml:space="preserve">Some uncertainty — pending RPO revision or tariff order material to project revenue</w:t>
            </w:r>
            <w:r>
              <w:t xml:space="preserve"> · </w:t>
            </w:r>
            <w:r>
              <w:rPr>
                <w:rFonts w:ascii="Consolas" w:cs="Consolas" w:eastAsia="Consolas" w:hAnsi="Consolas"/>
                <w:color w:val="7030A0"/>
                <w:sz w:val="17"/>
                <w:szCs w:val="17"/>
              </w:rPr>
              <w:t xml:space="preserve">REG_STAB_2</w:t>
            </w:r>
            <w:r>
              <w:t xml:space="preserve"> </w:t>
            </w:r>
            <w:r>
              <w:rPr>
                <w:i/>
                <w:iCs/>
              </w:rPr>
              <w:t xml:space="preserve">Unstable — live renegotiation attempt or contested tariff order affecting this project or its offtaker</w:t>
            </w:r>
            <w:r>
              <w:t xml:space="preserve"> · </w:t>
            </w:r>
            <w:r>
              <w:rPr>
                <w:rFonts w:ascii="Consolas" w:cs="Consolas" w:eastAsia="Consolas" w:hAnsi="Consolas"/>
                <w:color w:val="7030A0"/>
                <w:sz w:val="17"/>
                <w:szCs w:val="17"/>
              </w:rPr>
              <w:t xml:space="preserve">REG_STAB_1</w:t>
            </w:r>
            <w:r>
              <w:t xml:space="preserve"> </w:t>
            </w:r>
            <w:r>
              <w:rPr>
                <w:i/>
                <w:iCs/>
              </w:rPr>
              <w:t xml:space="preserve">Adverse — retrospective charge levied, or unresolved renegotiation affecting this project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REG_STAB_4</w:t>
            </w:r>
          </w:p>
        </w:tc>
      </w:tr>
      <w:tr>
        <w:tc>
          <w:tcPr>
            <w:tcW w:type="dxa" w:w="6120"/>
            <w:tcMar>
              <w:top w:type="dxa" w:w="90"/>
              <w:left w:type="dxa" w:w="110"/>
              <w:bottom w:type="dxa" w:w="90"/>
              <w:right w:type="dxa" w:w="110"/>
            </w:tcMar>
          </w:tcPr>
          <w:p>
            <w:pPr>
              <w:spacing w:after="0"/>
            </w:pPr>
            <w:r>
              <w:rPr>
                <w:b/>
                <w:bCs/>
              </w:rPr>
              <w:t xml:space="preserve">Offtake state(s)</w:t>
            </w:r>
            <w:r>
              <w:t xml:space="preserve"> </w:t>
            </w:r>
            <w:r>
              <w:rPr>
                <w:rFonts w:ascii="Consolas" w:cs="Consolas" w:eastAsia="Consolas" w:hAnsi="Consolas"/>
                <w:color w:val="7030A0"/>
                <w:sz w:val="17"/>
                <w:szCs w:val="17"/>
              </w:rPr>
              <w:t xml:space="preserve">{offtake_states}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Tamil Nadu</w:t>
            </w:r>
          </w:p>
        </w:tc>
      </w:tr>
      <w:tr>
        <w:tc>
          <w:tcPr>
            <w:tcW w:type="dxa" w:w="6120"/>
            <w:tcMar>
              <w:top w:type="dxa" w:w="90"/>
              <w:left w:type="dxa" w:w="110"/>
              <w:bottom w:type="dxa" w:w="90"/>
              <w:right w:type="dxa" w:w="110"/>
            </w:tcMar>
          </w:tcPr>
          <w:p>
            <w:pPr>
              <w:spacing w:after="0"/>
            </w:pPr>
            <w:r>
              <w:rPr>
                <w:b/>
                <w:bCs/>
              </w:rPr>
              <w:t xml:space="preserve">Regulatory narrative</w:t>
            </w:r>
            <w:r>
              <w:t xml:space="preserve"> </w:t>
            </w:r>
            <w:r>
              <w:rPr>
                <w:i/>
                <w:iCs/>
              </w:rPr>
              <w:t xml:space="preserve">Any pending or historical PPA renegotiation attempt, contested tariff order, or retrospective charge relevant to this project's state and regulatory environment, with dates.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A.5  Technology</w:t>
      </w:r>
    </w:p>
    <w:p>
      <w:pPr>
        <w:spacing w:after="120"/>
      </w:pPr>
      <w:r>
        <w:rPr>
          <w:i/>
          <w:iCs/>
          <w:sz w:val="20"/>
          <w:szCs w:val="20"/>
        </w:rPr>
        <w:t xml:space="preserve">Feeds CORE §3.3.1 (technology maturity and plant complexity, 2 pts) and §3.3.2 (regulatory sourcing compliance, 1 pt). Scored independently since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Generating technology maturity</w:t>
            </w:r>
            <w:r>
              <w:t xml:space="preserve"> </w:t>
            </w:r>
            <w:r>
              <w:rPr>
                <w:rFonts w:ascii="Consolas" w:cs="Consolas" w:eastAsia="Consolas" w:hAnsi="Consolas"/>
                <w:color w:val="7030A0"/>
                <w:sz w:val="17"/>
                <w:szCs w:val="17"/>
              </w:rPr>
              <w:t xml:space="preserve">{technology_maturity}</w:t>
            </w:r>
            <w:r>
              <w:t xml:space="preserve"> </w:t>
            </w:r>
            <w:r>
              <w:rPr>
                <w:i/>
                <w:iCs/>
              </w:rPr>
              <w:t xml:space="preserve">Select one (`TECH_MAT_3`):</w:t>
            </w:r>
            <w:r>
              <w:t xml:space="preserve"> </w:t>
            </w:r>
            <w:r>
              <w:rPr>
                <w:rFonts w:ascii="Consolas" w:cs="Consolas" w:eastAsia="Consolas" w:hAnsi="Consolas"/>
                <w:color w:val="7030A0"/>
                <w:sz w:val="17"/>
                <w:szCs w:val="17"/>
              </w:rPr>
              <w:t xml:space="preserve">TECH_MAT_STANDARD</w:t>
            </w:r>
            <w:r>
              <w:t xml:space="preserve"> </w:t>
            </w:r>
            <w:r>
              <w:rPr>
                <w:i/>
                <w:iCs/>
              </w:rPr>
              <w:t xml:space="preserve">Standard, widely deployed — conventional crystalline-silicon PV, or onshore WTG platform with 3+ years of utility-scale Indian operating history</w:t>
            </w:r>
            <w:r>
              <w:t xml:space="preserve"> · </w:t>
            </w:r>
            <w:r>
              <w:rPr>
                <w:rFonts w:ascii="Consolas" w:cs="Consolas" w:eastAsia="Consolas" w:hAnsi="Consolas"/>
                <w:color w:val="7030A0"/>
                <w:sz w:val="17"/>
                <w:szCs w:val="17"/>
              </w:rPr>
              <w:t xml:space="preserve">TECH_MAT_NEWER</w:t>
            </w:r>
            <w:r>
              <w:t xml:space="preserve"> </w:t>
            </w:r>
            <w:r>
              <w:rPr>
                <w:i/>
                <w:iCs/>
              </w:rPr>
              <w:t xml:space="preserve">Newer or less-established, under 3 years</w:t>
            </w:r>
            <w:r>
              <w:t xml:space="preserve"> · </w:t>
            </w:r>
            <w:r>
              <w:rPr>
                <w:rFonts w:ascii="Consolas" w:cs="Consolas" w:eastAsia="Consolas" w:hAnsi="Consolas"/>
                <w:color w:val="7030A0"/>
                <w:sz w:val="17"/>
                <w:szCs w:val="17"/>
              </w:rPr>
              <w:t xml:space="preserve">TECH_MAT_UNTESTED</w:t>
            </w:r>
            <w:r>
              <w:t xml:space="preserve"> </w:t>
            </w:r>
            <w:r>
              <w:rPr>
                <w:i/>
                <w:iCs/>
              </w:rPr>
              <w:t xml:space="preserve">Largely untested at this scale or in this application</w:t>
            </w:r>
            <w:r>
              <w:t xml:space="preserve">. </w:t>
            </w:r>
            <w:r>
              <w:rPr>
                <w:i/>
                <w:iCs/>
              </w:rPr>
              <w:t xml:space="preserve">This and the next field combine through the nine-row derivation table at CORE §3.3.1 — new in v3.0, since v2.0 stated four prose rows against this 3 × 3 grid and gave no mapping.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TECH_MAT_STANDARD</w:t>
            </w:r>
          </w:p>
        </w:tc>
      </w:tr>
      <w:tr>
        <w:tc>
          <w:tcPr>
            <w:tcW w:type="dxa" w:w="6120"/>
            <w:tcMar>
              <w:top w:type="dxa" w:w="90"/>
              <w:left w:type="dxa" w:w="110"/>
              <w:bottom w:type="dxa" w:w="90"/>
              <w:right w:type="dxa" w:w="110"/>
            </w:tcMar>
          </w:tcPr>
          <w:p>
            <w:pPr>
              <w:spacing w:after="0"/>
            </w:pPr>
            <w:r>
              <w:rPr>
                <w:b/>
                <w:bCs/>
              </w:rPr>
              <w:t xml:space="preserve">Balance-of-plant and grid-integration complexity</w:t>
            </w:r>
            <w:r>
              <w:t xml:space="preserve"> </w:t>
            </w:r>
            <w:r>
              <w:rPr>
                <w:rFonts w:ascii="Consolas" w:cs="Consolas" w:eastAsia="Consolas" w:hAnsi="Consolas"/>
                <w:color w:val="7030A0"/>
                <w:sz w:val="17"/>
                <w:szCs w:val="17"/>
              </w:rPr>
              <w:t xml:space="preserve">{bop_grid_complexity}</w:t>
            </w:r>
            <w:r>
              <w:t xml:space="preserve"> </w:t>
            </w:r>
            <w:r>
              <w:rPr>
                <w:i/>
                <w:iCs/>
              </w:rPr>
              <w:t xml:space="preserve">Select one (`BOP_3`):</w:t>
            </w:r>
            <w:r>
              <w:t xml:space="preserve"> </w:t>
            </w:r>
            <w:r>
              <w:rPr>
                <w:rFonts w:ascii="Consolas" w:cs="Consolas" w:eastAsia="Consolas" w:hAnsi="Consolas"/>
                <w:color w:val="7030A0"/>
                <w:sz w:val="17"/>
                <w:szCs w:val="17"/>
              </w:rPr>
              <w:t xml:space="preserve">BOP_CONVENTIONAL</w:t>
            </w:r>
            <w:r>
              <w:t xml:space="preserve"> </w:t>
            </w:r>
            <w:r>
              <w:rPr>
                <w:i/>
                <w:iCs/>
              </w:rPr>
              <w:t xml:space="preserve">Dedicated substation, evacuation line under 25 km, no shared infrastructure, no storage coupling</w:t>
            </w:r>
            <w:r>
              <w:t xml:space="preserve"> · </w:t>
            </w:r>
            <w:r>
              <w:rPr>
                <w:rFonts w:ascii="Consolas" w:cs="Consolas" w:eastAsia="Consolas" w:hAnsi="Consolas"/>
                <w:color w:val="7030A0"/>
                <w:sz w:val="17"/>
                <w:szCs w:val="17"/>
              </w:rPr>
              <w:t xml:space="preserve">BOP_MODERATE</w:t>
            </w:r>
            <w:r>
              <w:t xml:space="preserve"> </w:t>
            </w:r>
            <w:r>
              <w:rPr>
                <w:i/>
                <w:iCs/>
              </w:rPr>
              <w:t xml:space="preserve">Shared pooling substation, or evacuation line over 25 km, or hybrid dispatch controller, or storage-coupled dispatch obligation</w:t>
            </w:r>
            <w:r>
              <w:t xml:space="preserve"> · </w:t>
            </w:r>
            <w:r>
              <w:rPr>
                <w:rFonts w:ascii="Consolas" w:cs="Consolas" w:eastAsia="Consolas" w:hAnsi="Consolas"/>
                <w:color w:val="7030A0"/>
                <w:sz w:val="17"/>
                <w:szCs w:val="17"/>
              </w:rPr>
              <w:t xml:space="preserve">BOP_HIGH</w:t>
            </w:r>
            <w:r>
              <w:t xml:space="preserve"> </w:t>
            </w:r>
            <w:r>
              <w:rPr>
                <w:i/>
                <w:iCs/>
              </w:rPr>
              <w:t xml:space="preserve">More than one of the above, or first-of-kind configuration at this site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BOP_MODERATE</w:t>
            </w:r>
          </w:p>
        </w:tc>
      </w:tr>
      <w:tr>
        <w:tc>
          <w:tcPr>
            <w:tcW w:type="dxa" w:w="6120"/>
            <w:tcMar>
              <w:top w:type="dxa" w:w="90"/>
              <w:left w:type="dxa" w:w="110"/>
              <w:bottom w:type="dxa" w:w="90"/>
              <w:right w:type="dxa" w:w="110"/>
            </w:tcMar>
          </w:tcPr>
          <w:p>
            <w:pPr>
              <w:spacing w:after="0"/>
            </w:pPr>
            <w:r>
              <w:rPr>
                <w:b/>
                <w:bCs/>
              </w:rPr>
              <w:t xml:space="preserve">ALMM compliance status (solar and hybrid projects)</w:t>
            </w:r>
            <w:r>
              <w:t xml:space="preserve"> </w:t>
            </w:r>
            <w:r>
              <w:rPr>
                <w:rFonts w:ascii="Consolas" w:cs="Consolas" w:eastAsia="Consolas" w:hAnsi="Consolas"/>
                <w:color w:val="7030A0"/>
                <w:sz w:val="17"/>
                <w:szCs w:val="17"/>
              </w:rPr>
              <w:t xml:space="preserve">{almm_status}</w:t>
            </w:r>
            <w:r>
              <w:t xml:space="preserve"> </w:t>
            </w:r>
            <w:r>
              <w:rPr>
                <w:i/>
                <w:iCs/>
              </w:rPr>
              <w:t xml:space="preserve">Select one (`ALMM_5`):</w:t>
            </w:r>
            <w:r>
              <w:t xml:space="preserve"> </w:t>
            </w:r>
            <w:r>
              <w:rPr>
                <w:rFonts w:ascii="Consolas" w:cs="Consolas" w:eastAsia="Consolas" w:hAnsi="Consolas"/>
                <w:color w:val="7030A0"/>
                <w:sz w:val="17"/>
                <w:szCs w:val="17"/>
              </w:rPr>
              <w:t xml:space="preserve">ALMM_COMPLIANT</w:t>
            </w:r>
            <w:r>
              <w:t xml:space="preserve"> </w:t>
            </w:r>
            <w:r>
              <w:rPr>
                <w:i/>
                <w:iCs/>
              </w:rPr>
              <w:t xml:space="preserve">Fully compliant</w:t>
            </w:r>
            <w:r>
              <w:t xml:space="preserve"> → 1 pt · </w:t>
            </w:r>
            <w:r>
              <w:rPr>
                <w:rFonts w:ascii="Consolas" w:cs="Consolas" w:eastAsia="Consolas" w:hAnsi="Consolas"/>
                <w:color w:val="7030A0"/>
                <w:sz w:val="17"/>
                <w:szCs w:val="17"/>
              </w:rPr>
              <w:t xml:space="preserve">ALMM_NOT_APPLICABLE</w:t>
            </w:r>
            <w:r>
              <w:t xml:space="preserve"> </w:t>
            </w:r>
            <w:r>
              <w:rPr>
                <w:i/>
                <w:iCs/>
              </w:rPr>
              <w:t xml:space="preserve">Wind-only project</w:t>
            </w:r>
            <w:r>
              <w:t xml:space="preserve"> → 1 pt · </w:t>
            </w:r>
            <w:r>
              <w:rPr>
                <w:rFonts w:ascii="Consolas" w:cs="Consolas" w:eastAsia="Consolas" w:hAnsi="Consolas"/>
                <w:color w:val="7030A0"/>
                <w:sz w:val="17"/>
                <w:szCs w:val="17"/>
              </w:rPr>
              <w:t xml:space="preserve">ALMM_EXEMPT_OPEN</w:t>
            </w:r>
            <w:r>
              <w:t xml:space="preserve"> </w:t>
            </w:r>
            <w:r>
              <w:rPr>
                <w:i/>
                <w:iCs/>
              </w:rPr>
              <w:t xml:space="preserve">Documented exemption or case-by-case route, within its window</w:t>
            </w:r>
            <w:r>
              <w:t xml:space="preserve"> → 0.5 pt · </w:t>
            </w:r>
            <w:r>
              <w:rPr>
                <w:rFonts w:ascii="Consolas" w:cs="Consolas" w:eastAsia="Consolas" w:hAnsi="Consolas"/>
                <w:color w:val="7030A0"/>
                <w:sz w:val="17"/>
                <w:szCs w:val="17"/>
              </w:rPr>
              <w:t xml:space="preserve">ALMM_NON_COMPLIANT</w:t>
            </w:r>
            <w:r>
              <w:t xml:space="preserve"> </w:t>
            </w:r>
            <w:r>
              <w:rPr>
                <w:i/>
                <w:iCs/>
              </w:rPr>
              <w:t xml:space="preserve">Non-compliant with a currently binding requirement</w:t>
            </w:r>
            <w:r>
              <w:t xml:space="preserve"> → 0 · </w:t>
            </w:r>
            <w:r>
              <w:rPr>
                <w:rFonts w:ascii="Consolas" w:cs="Consolas" w:eastAsia="Consolas" w:hAnsi="Consolas"/>
                <w:color w:val="7030A0"/>
                <w:sz w:val="17"/>
                <w:szCs w:val="17"/>
              </w:rPr>
              <w:t xml:space="preserve">ALMM_EXEMPT_CLOSED</w:t>
            </w:r>
            <w:r>
              <w:t xml:space="preserve"> </w:t>
            </w:r>
            <w:r>
              <w:rPr>
                <w:i/>
                <w:iCs/>
              </w:rPr>
              <w:t xml:space="preserve">Exemption window closed without a confirmed compliant sourcing plan</w:t>
            </w:r>
            <w:r>
              <w:t xml:space="preserve"> → 0. </w:t>
            </w:r>
            <w:r>
              <w:rPr>
                <w:i/>
                <w:iCs/>
              </w:rPr>
              <w:t xml:space="preserve">Points shown because CORE §3.3.2 now maps all five codes explicitly.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ALMM_NOT_APPLICABLE</w:t>
            </w:r>
          </w:p>
        </w:tc>
      </w:tr>
      <w:tr>
        <w:tc>
          <w:tcPr>
            <w:tcW w:type="dxa" w:w="6120"/>
            <w:tcMar>
              <w:top w:type="dxa" w:w="90"/>
              <w:left w:type="dxa" w:w="110"/>
              <w:bottom w:type="dxa" w:w="90"/>
              <w:right w:type="dxa" w:w="110"/>
            </w:tcMar>
          </w:tcPr>
          <w:p>
            <w:pPr>
              <w:spacing w:after="0"/>
            </w:pPr>
            <w:r>
              <w:rPr>
                <w:b/>
                <w:bCs/>
              </w:rPr>
              <w:t xml:space="preserve">ALMM basis and reference</w:t>
            </w:r>
            <w:r>
              <w:t xml:space="preserve"> </w:t>
            </w:r>
            <w:r>
              <w:rPr>
                <w:rFonts w:ascii="Consolas" w:cs="Consolas" w:eastAsia="Consolas" w:hAnsi="Consolas"/>
                <w:color w:val="7030A0"/>
                <w:sz w:val="17"/>
                <w:szCs w:val="17"/>
              </w:rPr>
              <w:t xml:space="preserve">{almm_basis_reference}</w:t>
            </w:r>
            <w:r>
              <w:t xml:space="preserve"> </w:t>
            </w:r>
            <w:r>
              <w:rPr>
                <w:i/>
                <w:iCs/>
              </w:rPr>
              <w:t xml:space="preserve">State the specific notification, memorandum or exemption approval relied on, its date, and (for a case-by-case route) the NISE claim reference. Required for audit; a blank here flags the ALMM input as unsupported (V12).</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n/a — wind</w:t>
            </w:r>
          </w:p>
        </w:tc>
      </w:tr>
      <w:tr>
        <w:tc>
          <w:tcPr>
            <w:tcW w:type="dxa" w:w="6120"/>
            <w:tcMar>
              <w:top w:type="dxa" w:w="90"/>
              <w:left w:type="dxa" w:w="110"/>
              <w:bottom w:type="dxa" w:w="90"/>
              <w:right w:type="dxa" w:w="110"/>
            </w:tcMar>
          </w:tcPr>
          <w:p>
            <w:pPr>
              <w:spacing w:after="0"/>
            </w:pPr>
            <w:r>
              <w:rPr>
                <w:b/>
                <w:bCs/>
              </w:rPr>
              <w:t xml:space="preserve">Turbine OEM and Indian operating track record (wind and hybrid projects)</w:t>
            </w:r>
            <w:r>
              <w:t xml:space="preserve"> </w:t>
            </w:r>
            <w:r>
              <w:rPr>
                <w:rFonts w:ascii="Consolas" w:cs="Consolas" w:eastAsia="Consolas" w:hAnsi="Consolas"/>
                <w:color w:val="7030A0"/>
                <w:sz w:val="17"/>
                <w:szCs w:val="17"/>
              </w:rPr>
              <w:t xml:space="preserve">{wtg_oem_indian_years}</w:t>
            </w:r>
            <w:r>
              <w:t xml:space="preserve"> </w:t>
            </w:r>
            <w:r>
              <w:rPr>
                <w:i/>
                <w:iCs/>
              </w:rPr>
              <w:t xml:space="preserve">OEM identity and years of utility-scale operating history at Indian sites — the evidence for `TECH_MAT_STANDARD` on a wind or hybrid project. Enter 0 and note "solar-only" for solar projects.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8</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sz w:val="18"/>
                <w:szCs w:val="18"/>
              </w:rPr>
              <w:t xml:space="preserve">ALMM Regulatory Reminder — read before completing the ALMM field. The ALMM regime is a live parameter held as a dated configuration table at CORE §3.3.3. As at 30 July 2026: • The List-II cell mandate applies to projects commissioned on or after 1 June 2026. • The segment governed by both the deadline and its extension to 31 December 2026 is net-metering and open-access projects. • A case-by-case exemption route exists under MNRE's office memorandum of 25 May 2026   (Category I — modules fully installed on site before 1 June 2026; Category II — substantial implementation steps),   with claims submitted via the NISE portal by 30 June 2026. • MNRE's memorandum of 18 July 2026 supersedes several earlier 2026 instruments. Note: v1.0 of this template inverted the segmentation and omitted the exemption route. Verify the current position against MNRE's notifications before completing the ALMM field. Confirm the CORE §3.3.3 parameter table is not more than 90 days past its "as at" date.</w:t>
            </w:r>
          </w:p>
        </w:tc>
      </w:tr>
    </w:tbl>
    <w:p>
      <w:pPr>
        <w:spacing w:after="140"/>
      </w:pPr>
      <w:r>
        <w:t xml:space="preserve"/>
      </w:r>
    </w:p>
    <w:p>
      <w:pPr>
        <w:pStyle w:val="Heading3"/>
        <w:spacing w:after="110" w:before="240"/>
      </w:pPr>
      <w:r>
        <w:rPr>
          <w:b/>
          <w:bCs/>
          <w:color w:val="4472C4"/>
          <w:sz w:val="21"/>
          <w:szCs w:val="21"/>
        </w:rPr>
        <w:t xml:space="preserve">A.6  Capital Reinvestment</w:t>
      </w:r>
    </w:p>
    <w:p>
      <w:pPr>
        <w:spacing w:after="120"/>
      </w:pPr>
      <w:r>
        <w:rPr>
          <w:i/>
          <w:iCs/>
          <w:sz w:val="20"/>
          <w:szCs w:val="20"/>
        </w:rPr>
        <w:t xml:space="preserve">Feeds CORE §3.4 (3 pts). v2.0 anchors this factor on a reinvestment ratio, which is now collected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Reinvestment ratio</w:t>
            </w:r>
            <w:r>
              <w:t xml:space="preserve"> </w:t>
            </w:r>
            <w:r>
              <w:rPr>
                <w:rFonts w:ascii="Consolas" w:cs="Consolas" w:eastAsia="Consolas" w:hAnsi="Consolas"/>
                <w:color w:val="7030A0"/>
                <w:sz w:val="17"/>
                <w:szCs w:val="17"/>
              </w:rPr>
              <w:t xml:space="preserve">{reinvestment_ratio}</w:t>
            </w:r>
            <w:r>
              <w:t xml:space="preserve"> *</w:t>
            </w:r>
            <w:r>
              <w:rPr>
                <w:b/>
                <w:bCs/>
              </w:rPr>
              <w:t xml:space="preserve">Decimal fraction</w:t>
            </w:r>
            <w:r>
              <w:rPr>
                <w:i/>
                <w:iCs/>
              </w:rPr>
              <w:t xml:space="preserve"> </w:t>
            </w:r>
            <w:r>
              <w:t xml:space="preserve">— 0.0900 for 9%. NPV of planned major-maintenance and replacement capex over the remaining debt tenor ÷ NPV of CFADS over the same period, both discounted at the CORE §9.4 rate.*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0.09</w:t>
            </w:r>
          </w:p>
        </w:tc>
      </w:tr>
      <w:tr>
        <w:tc>
          <w:tcPr>
            <w:tcW w:type="dxa" w:w="6120"/>
            <w:tcMar>
              <w:top w:type="dxa" w:w="90"/>
              <w:left w:type="dxa" w:w="110"/>
              <w:bottom w:type="dxa" w:w="90"/>
              <w:right w:type="dxa" w:w="110"/>
            </w:tcMar>
          </w:tcPr>
          <w:p>
            <w:pPr>
              <w:spacing w:after="0"/>
            </w:pPr>
            <w:r>
              <w:rPr>
                <w:b/>
                <w:bCs/>
              </w:rPr>
              <w:t xml:space="preserve">Primary funding source for reinvestment</w:t>
            </w:r>
            <w:r>
              <w:t xml:space="preserve"> </w:t>
            </w:r>
            <w:r>
              <w:rPr>
                <w:rFonts w:ascii="Consolas" w:cs="Consolas" w:eastAsia="Consolas" w:hAnsi="Consolas"/>
                <w:color w:val="7030A0"/>
                <w:sz w:val="17"/>
                <w:szCs w:val="17"/>
              </w:rPr>
              <w:t xml:space="preserve">{reinvestment_funding_source}</w:t>
            </w:r>
            <w:r>
              <w:t xml:space="preserve"> </w:t>
            </w:r>
            <w:r>
              <w:rPr>
                <w:i/>
                <w:iCs/>
              </w:rPr>
              <w:t xml:space="preserve">Select one (`FUND_SRC_5`):</w:t>
            </w:r>
            <w:r>
              <w:t xml:space="preserve"> </w:t>
            </w:r>
            <w:r>
              <w:rPr>
                <w:rFonts w:ascii="Consolas" w:cs="Consolas" w:eastAsia="Consolas" w:hAnsi="Consolas"/>
                <w:color w:val="7030A0"/>
                <w:sz w:val="17"/>
                <w:szCs w:val="17"/>
              </w:rPr>
              <w:t xml:space="preserve">FUND_OCF</w:t>
            </w:r>
            <w:r>
              <w:t xml:space="preserve"> </w:t>
            </w:r>
            <w:r>
              <w:rPr>
                <w:i/>
                <w:iCs/>
              </w:rPr>
              <w:t xml:space="preserve">Operating cash flow</w:t>
            </w:r>
            <w:r>
              <w:t xml:space="preserve"> · </w:t>
            </w:r>
            <w:r>
              <w:rPr>
                <w:rFonts w:ascii="Consolas" w:cs="Consolas" w:eastAsia="Consolas" w:hAnsi="Consolas"/>
                <w:color w:val="7030A0"/>
                <w:sz w:val="17"/>
                <w:szCs w:val="17"/>
              </w:rPr>
              <w:t xml:space="preserve">FUND_MMRA</w:t>
            </w:r>
            <w:r>
              <w:t xml:space="preserve"> </w:t>
            </w:r>
            <w:r>
              <w:rPr>
                <w:i/>
                <w:iCs/>
              </w:rPr>
              <w:t xml:space="preserve">Funded major-maintenance reserve account</w:t>
            </w:r>
            <w:r>
              <w:t xml:space="preserve"> · </w:t>
            </w:r>
            <w:r>
              <w:rPr>
                <w:rFonts w:ascii="Consolas" w:cs="Consolas" w:eastAsia="Consolas" w:hAnsi="Consolas"/>
                <w:color w:val="7030A0"/>
                <w:sz w:val="17"/>
                <w:szCs w:val="17"/>
              </w:rPr>
              <w:t xml:space="preserve">FUND_INCREMENTAL_DEBT</w:t>
            </w:r>
            <w:r>
              <w:t xml:space="preserve"> </w:t>
            </w:r>
            <w:r>
              <w:rPr>
                <w:i/>
                <w:iCs/>
              </w:rPr>
              <w:t xml:space="preserve">Incremental debt</w:t>
            </w:r>
            <w:r>
              <w:t xml:space="preserve"> · </w:t>
            </w:r>
            <w:r>
              <w:rPr>
                <w:rFonts w:ascii="Consolas" w:cs="Consolas" w:eastAsia="Consolas" w:hAnsi="Consolas"/>
                <w:color w:val="7030A0"/>
                <w:sz w:val="17"/>
                <w:szCs w:val="17"/>
              </w:rPr>
              <w:t xml:space="preserve">FUND_SPONSOR</w:t>
            </w:r>
            <w:r>
              <w:t xml:space="preserve"> </w:t>
            </w:r>
            <w:r>
              <w:rPr>
                <w:i/>
                <w:iCs/>
              </w:rPr>
              <w:t xml:space="preserve">Sponsor support</w:t>
            </w:r>
            <w:r>
              <w:t xml:space="preserve"> · </w:t>
            </w:r>
            <w:r>
              <w:rPr>
                <w:rFonts w:ascii="Consolas" w:cs="Consolas" w:eastAsia="Consolas" w:hAnsi="Consolas"/>
                <w:color w:val="7030A0"/>
                <w:sz w:val="17"/>
                <w:szCs w:val="17"/>
              </w:rPr>
              <w:t xml:space="preserve">FUND_NOT_IDENTIFIED</w:t>
            </w:r>
            <w:r>
              <w:t xml:space="preserve"> </w:t>
            </w:r>
            <w:r>
              <w:rPr>
                <w:i/>
                <w:iCs/>
              </w:rPr>
              <w:t xml:space="preserve">Not identified. The first two count as internally fundable at CORE §3.4; the last three do not.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FUND_MMRA</w:t>
            </w:r>
          </w:p>
        </w:tc>
      </w:tr>
      <w:tr>
        <w:tc>
          <w:tcPr>
            <w:tcW w:type="dxa" w:w="6120"/>
            <w:tcMar>
              <w:top w:type="dxa" w:w="90"/>
              <w:left w:type="dxa" w:w="110"/>
              <w:bottom w:type="dxa" w:w="90"/>
              <w:right w:type="dxa" w:w="110"/>
            </w:tcMar>
          </w:tcPr>
          <w:p>
            <w:pPr>
              <w:spacing w:after="0"/>
            </w:pPr>
            <w:r>
              <w:rPr>
                <w:b/>
                <w:bCs/>
              </w:rPr>
              <w:t xml:space="preserve">Planned reinvestment schedule</w:t>
            </w:r>
            <w:r>
              <w:t xml:space="preserve"> </w:t>
            </w:r>
            <w:r>
              <w:rPr>
                <w:i/>
                <w:iCs/>
              </w:rPr>
              <w:t xml:space="preserve">Major expected replacement items (inverters, gearboxes, blades, transformers), approximate timing, and amount. Supports the ratio above and the rationale; the ratio is what is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A.7  Generation Performance Evidence</w:t>
      </w:r>
    </w:p>
    <w:p>
      <w:pPr>
        <w:spacing w:after="120"/>
      </w:pPr>
      <w:r>
        <w:rPr>
          <w:i/>
          <w:iCs/>
          <w:sz w:val="20"/>
          <w:szCs w:val="20"/>
        </w:rPr>
        <w:t xml:space="preserve">Feeds CORE §3.5 (2 pts). Renamed from </w:t>
      </w:r>
      <w:r>
        <w:rPr>
          <w:i/>
          <w:iCs/>
          <w:sz w:val="20"/>
          <w:szCs w:val="20"/>
        </w:rPr>
        <w:t xml:space="preserve">"</w:t>
      </w:r>
      <w:r>
        <w:rPr>
          <w:i/>
          <w:iCs/>
          <w:sz w:val="20"/>
          <w:szCs w:val="20"/>
        </w:rPr>
        <w:t xml:space="preserve">Operating Track Record</w:t>
      </w:r>
      <w:r>
        <w:rPr>
          <w:i/>
          <w:iCs/>
          <w:sz w:val="20"/>
          <w:szCs w:val="20"/>
        </w:rPr>
        <w:t xml:space="preserve">"</w:t>
      </w:r>
      <w:r>
        <w:rPr>
          <w:i/>
          <w:iCs/>
          <w:sz w:val="20"/>
          <w:szCs w:val="20"/>
        </w:rPr>
        <w:t xml:space="preserve"> in v2.0. Re-anchored on evidence quality rather than COD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Full operating years completed</w:t>
            </w:r>
            <w:r>
              <w:t xml:space="preserve"> </w:t>
            </w:r>
            <w:r>
              <w:rPr>
                <w:rFonts w:ascii="Consolas" w:cs="Consolas" w:eastAsia="Consolas" w:hAnsi="Consolas"/>
                <w:color w:val="7030A0"/>
                <w:sz w:val="17"/>
                <w:szCs w:val="17"/>
              </w:rPr>
              <w:t xml:space="preserve">{operating_years_completed}</w:t>
            </w:r>
            <w:r>
              <w:t xml:space="preserve"> </w:t>
            </w:r>
            <w:r>
              <w:rPr>
                <w:i/>
                <w:iCs/>
              </w:rPr>
              <w:t xml:space="preserve">To two decimal places. Enter 0 if pre-COD. Where this is under 1.00 the performance limb at CORE §3.5 is not assessed and the evidence limb alone governs.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1.17</w:t>
            </w:r>
          </w:p>
        </w:tc>
      </w:tr>
      <w:tr>
        <w:tc>
          <w:tcPr>
            <w:tcW w:type="dxa" w:w="6120"/>
            <w:tcMar>
              <w:top w:type="dxa" w:w="90"/>
              <w:left w:type="dxa" w:w="110"/>
              <w:bottom w:type="dxa" w:w="90"/>
              <w:right w:type="dxa" w:w="110"/>
            </w:tcMar>
          </w:tcPr>
          <w:p>
            <w:pPr>
              <w:spacing w:after="0"/>
            </w:pPr>
            <w:r>
              <w:rPr>
                <w:b/>
                <w:bCs/>
              </w:rPr>
              <w:t xml:space="preserve">Actual generation vs P90 — most recent full year</w:t>
            </w:r>
            <w:r>
              <w:t xml:space="preserve"> </w:t>
            </w:r>
            <w:r>
              <w:rPr>
                <w:rFonts w:ascii="Consolas" w:cs="Consolas" w:eastAsia="Consolas" w:hAnsi="Consolas"/>
                <w:color w:val="7030A0"/>
                <w:sz w:val="17"/>
                <w:szCs w:val="17"/>
              </w:rPr>
              <w:t xml:space="preserve">{actual_gen_vs_p90_y1}</w:t>
            </w:r>
            <w:r>
              <w:t xml:space="preserve"> *</w:t>
            </w:r>
            <w:r>
              <w:rPr>
                <w:b/>
                <w:bCs/>
              </w:rPr>
              <w:t xml:space="preserve">Decimal fraction</w:t>
            </w:r>
            <w:r>
              <w:rPr>
                <w:i/>
                <w:iCs/>
              </w:rPr>
              <w:t xml:space="preserve"> </w:t>
            </w:r>
            <w:r>
              <w:t xml:space="preserve">— 1.0500 for 105%. *</w:t>
            </w:r>
            <w:r>
              <w:rPr>
                <w:b/>
                <w:bCs/>
              </w:rPr>
              <w:t xml:space="preserve">Split into typed fields in v3.0</w:t>
            </w:r>
            <w:r>
              <w:rPr>
                <w:i/>
                <w:iCs/>
              </w:rPr>
              <w:t xml:space="preserve"> </w:t>
            </w:r>
            <w:r>
              <w:t xml:space="preserve">(QA finding M12): v2.0 asked for three years' figures "lowest first" in a single free-text cell, which cannot be typed, validated or extracted, while CORE §3.5 row 1 tests each of the three years separately. Leave blank if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prior year</w:t>
            </w:r>
            <w:r>
              <w:t xml:space="preserve"> </w:t>
            </w:r>
            <w:r>
              <w:rPr>
                <w:rFonts w:ascii="Consolas" w:cs="Consolas" w:eastAsia="Consolas" w:hAnsi="Consolas"/>
                <w:color w:val="7030A0"/>
                <w:sz w:val="17"/>
                <w:szCs w:val="17"/>
              </w:rPr>
              <w:t xml:space="preserve">{actual_gen_vs_p90_y2}</w:t>
            </w:r>
            <w:r>
              <w:t xml:space="preserve"> *</w:t>
            </w:r>
            <w:r>
              <w:rPr>
                <w:b/>
                <w:bCs/>
              </w:rPr>
              <w:t xml:space="preserve">Decimal fraction.</w:t>
            </w:r>
            <w:r>
              <w:rPr>
                <w:i/>
                <w:iCs/>
              </w:rPr>
              <w:t xml:space="preserve"> </w:t>
            </w:r>
            <w:r>
              <w:t xml:space="preserve">Leave blank if fewer than two full operating years.*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year before that</w:t>
            </w:r>
            <w:r>
              <w:t xml:space="preserve"> </w:t>
            </w:r>
            <w:r>
              <w:rPr>
                <w:rFonts w:ascii="Consolas" w:cs="Consolas" w:eastAsia="Consolas" w:hAnsi="Consolas"/>
                <w:color w:val="7030A0"/>
                <w:sz w:val="17"/>
                <w:szCs w:val="17"/>
              </w:rPr>
              <w:t xml:space="preserve">{actual_gen_vs_p90_y3}</w:t>
            </w:r>
            <w:r>
              <w:t xml:space="preserve"> *</w:t>
            </w:r>
            <w:r>
              <w:rPr>
                <w:b/>
                <w:bCs/>
              </w:rPr>
              <w:t xml:space="preserve">Decimal fraction.</w:t>
            </w:r>
            <w:r>
              <w:rPr>
                <w:i/>
                <w:iCs/>
              </w:rPr>
              <w:t xml:space="preserve"> </w:t>
            </w:r>
            <w:r>
              <w:t xml:space="preserve">Leave blank if fewer than three full operating years.*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Actual generation vs P90 — over the whole operating period</w:t>
            </w:r>
            <w:r>
              <w:t xml:space="preserve"> </w:t>
            </w:r>
            <w:r>
              <w:rPr>
                <w:rFonts w:ascii="Consolas" w:cs="Consolas" w:eastAsia="Consolas" w:hAnsi="Consolas"/>
                <w:color w:val="7030A0"/>
                <w:sz w:val="17"/>
                <w:szCs w:val="17"/>
              </w:rPr>
              <w:t xml:space="preserve">{actual_gen_vs_p90_period}</w:t>
            </w:r>
            <w:r>
              <w:t xml:space="preserve"> *</w:t>
            </w:r>
            <w:r>
              <w:rPr>
                <w:b/>
                <w:bCs/>
              </w:rPr>
              <w:t xml:space="preserve">Decimal fraction.</w:t>
            </w:r>
            <w:r>
              <w:rPr>
                <w:i/>
                <w:iCs/>
              </w:rPr>
              <w:t xml:space="preserve"> </w:t>
            </w:r>
            <w:r>
              <w:t xml:space="preserve">Drives rows 2, 3 and 4 of the performance limb at CORE §3.5. Leave blank if 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0.98</w:t>
            </w:r>
          </w:p>
        </w:tc>
      </w:tr>
      <w:tr>
        <w:tc>
          <w:tcPr>
            <w:tcW w:type="dxa" w:w="6120"/>
            <w:tcMar>
              <w:top w:type="dxa" w:w="90"/>
              <w:left w:type="dxa" w:w="110"/>
              <w:bottom w:type="dxa" w:w="90"/>
              <w:right w:type="dxa" w:w="110"/>
            </w:tcMar>
          </w:tcPr>
          <w:p>
            <w:pPr>
              <w:spacing w:after="0"/>
            </w:pPr>
            <w:r>
              <w:rPr>
                <w:b/>
                <w:bCs/>
              </w:rPr>
              <w:t xml:space="preserve">Independent resource assessment obtained</w:t>
            </w:r>
            <w:r>
              <w:t xml:space="preserve"> </w:t>
            </w:r>
            <w:r>
              <w:rPr>
                <w:rFonts w:ascii="Consolas" w:cs="Consolas" w:eastAsia="Consolas" w:hAnsi="Consolas"/>
                <w:color w:val="7030A0"/>
                <w:sz w:val="17"/>
                <w:szCs w:val="17"/>
              </w:rPr>
              <w:t xml:space="preserve">{independent_resource_assessment}</w:t>
            </w:r>
            <w:r>
              <w:t xml:space="preserve"> </w:t>
            </w:r>
            <w:r>
              <w:rPr>
                <w:i/>
                <w:iCs/>
              </w:rPr>
              <w:t xml:space="preserve">Select `YES` or `NO`. If `YES`, name the consultant and report date in the notes field. </w:t>
            </w:r>
            <w:r>
              <w:rPr>
                <w:i/>
                <w:iCs/>
              </w:rPr>
              <w:t xml:space="preserve">A `NO` here caps this factor at 0 points</w:t>
            </w:r>
            <w:r>
              <w:rPr>
                <w:i/>
                <w:iCs/>
              </w:rPr>
              <w:t xml:space="preserve"> through the evidence limb at CORE §3.5, whatever the actual generation record shows.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P90 verified by a lender's technical advisor</w:t>
            </w:r>
            <w:r>
              <w:t xml:space="preserve"> </w:t>
            </w:r>
            <w:r>
              <w:rPr>
                <w:rFonts w:ascii="Consolas" w:cs="Consolas" w:eastAsia="Consolas" w:hAnsi="Consolas"/>
                <w:color w:val="7030A0"/>
                <w:sz w:val="17"/>
                <w:szCs w:val="17"/>
              </w:rPr>
              <w:t xml:space="preserve">{p90_verified_by_lta}</w:t>
            </w:r>
            <w:r>
              <w:t xml:space="preserve"> </w:t>
            </w:r>
            <w:r>
              <w:rPr>
                <w:i/>
                <w:iCs/>
              </w:rPr>
              <w:t xml:space="preserve">Select `YES` or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EPC or O</w:t>
            </w:r>
            <w:r>
              <w:rPr>
                <w:b/>
                <w:bCs/>
              </w:rPr>
              <w:t xml:space="preserve">&amp;</w:t>
            </w:r>
            <w:r>
              <w:rPr>
                <w:b/>
                <w:bCs/>
              </w:rPr>
              <w:t xml:space="preserve">M performance guarantee covering generation</w:t>
            </w:r>
            <w:r>
              <w:t xml:space="preserve"> </w:t>
            </w:r>
            <w:r>
              <w:rPr>
                <w:rFonts w:ascii="Consolas" w:cs="Consolas" w:eastAsia="Consolas" w:hAnsi="Consolas"/>
                <w:color w:val="7030A0"/>
                <w:sz w:val="17"/>
                <w:szCs w:val="17"/>
              </w:rPr>
              <w:t xml:space="preserve">{generation_performance_guarantee}</w:t>
            </w:r>
            <w:r>
              <w:t xml:space="preserve"> </w:t>
            </w:r>
            <w:r>
              <w:rPr>
                <w:i/>
                <w:iCs/>
              </w:rPr>
              <w:t xml:space="preserve">Select `YES` or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Evidence notes</w:t>
            </w:r>
            <w:r>
              <w:t xml:space="preserve"> </w:t>
            </w:r>
            <w:r>
              <w:rPr>
                <w:i/>
                <w:iCs/>
              </w:rPr>
              <w:t xml:space="preserve">Consultant name, report date, LTA name, guarantee terms and any liquidated-damages cap.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A.8  Operator and Sponsor</w:t>
      </w:r>
    </w:p>
    <w:p>
      <w:pPr>
        <w:spacing w:after="120"/>
      </w:pPr>
      <w:r>
        <w:rPr>
          <w:i/>
          <w:iCs/>
          <w:sz w:val="20"/>
          <w:szCs w:val="20"/>
        </w:rPr>
        <w:t xml:space="preserve">Feeds CORE §3.6 (2 pts). v2.0 anchors on numeric experience thresholds. Where the operator and sponsor qualify at different tiers, the lower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Operator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Operator years of O</w:t>
            </w:r>
            <w:r>
              <w:rPr>
                <w:b/>
                <w:bCs/>
              </w:rPr>
              <w:t xml:space="preserve">&amp;</w:t>
            </w:r>
            <w:r>
              <w:rPr>
                <w:b/>
                <w:bCs/>
              </w:rPr>
              <w:t xml:space="preserve">M experience</w:t>
            </w:r>
            <w:r>
              <w:t xml:space="preserve"> </w:t>
            </w:r>
            <w:r>
              <w:rPr>
                <w:rFonts w:ascii="Consolas" w:cs="Consolas" w:eastAsia="Consolas" w:hAnsi="Consolas"/>
                <w:color w:val="7030A0"/>
                <w:sz w:val="17"/>
                <w:szCs w:val="17"/>
              </w:rPr>
              <w:t xml:space="preserve">{operator_years}</w:t>
            </w:r>
            <w:r>
              <w:t xml:space="preserve"> </w:t>
            </w:r>
            <w:r>
              <w:rPr>
                <w:i/>
                <w:iCs/>
              </w:rPr>
              <w:t xml:space="preserve">To one decimal place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5.5</w:t>
            </w:r>
          </w:p>
        </w:tc>
      </w:tr>
      <w:tr>
        <w:tc>
          <w:tcPr>
            <w:tcW w:type="dxa" w:w="6120"/>
            <w:tcMar>
              <w:top w:type="dxa" w:w="90"/>
              <w:left w:type="dxa" w:w="110"/>
              <w:bottom w:type="dxa" w:w="90"/>
              <w:right w:type="dxa" w:w="110"/>
            </w:tcMar>
          </w:tcPr>
          <w:p>
            <w:pPr>
              <w:spacing w:after="0"/>
            </w:pPr>
            <w:r>
              <w:rPr>
                <w:b/>
                <w:bCs/>
              </w:rPr>
              <w:t xml:space="preserve">Operator comparable Indian renewable capacity under O</w:t>
            </w:r>
            <w:r>
              <w:rPr>
                <w:b/>
                <w:bCs/>
              </w:rPr>
              <w:t xml:space="preserve">&amp;</w:t>
            </w:r>
            <w:r>
              <w:rPr>
                <w:b/>
                <w:bCs/>
              </w:rPr>
              <w:t xml:space="preserve">M (MW)</w:t>
            </w:r>
            <w:r>
              <w:t xml:space="preserve"> </w:t>
            </w:r>
            <w:r>
              <w:rPr>
                <w:rFonts w:ascii="Consolas" w:cs="Consolas" w:eastAsia="Consolas" w:hAnsi="Consolas"/>
                <w:color w:val="7030A0"/>
                <w:sz w:val="17"/>
                <w:szCs w:val="17"/>
              </w:rPr>
              <w:t xml:space="preserve">{operator_mw_under_om}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650</w:t>
            </w:r>
          </w:p>
        </w:tc>
      </w:tr>
      <w:tr>
        <w:tc>
          <w:tcPr>
            <w:tcW w:type="dxa" w:w="6120"/>
            <w:tcMar>
              <w:top w:type="dxa" w:w="90"/>
              <w:left w:type="dxa" w:w="110"/>
              <w:bottom w:type="dxa" w:w="90"/>
              <w:right w:type="dxa" w:w="110"/>
            </w:tcMar>
          </w:tcPr>
          <w:p>
            <w:pPr>
              <w:spacing w:after="0"/>
            </w:pPr>
            <w:r>
              <w:rPr>
                <w:b/>
                <w:bCs/>
              </w:rPr>
              <w:t xml:space="preserve">Sponsor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Sponsor comparable projects taken to COD (count)</w:t>
            </w:r>
            <w:r>
              <w:t xml:space="preserve"> </w:t>
            </w:r>
            <w:r>
              <w:rPr>
                <w:rFonts w:ascii="Consolas" w:cs="Consolas" w:eastAsia="Consolas" w:hAnsi="Consolas"/>
                <w:color w:val="7030A0"/>
                <w:sz w:val="17"/>
                <w:szCs w:val="17"/>
              </w:rPr>
              <w:t xml:space="preserve">{sponsor_projects_at_cod}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4</w:t>
            </w:r>
          </w:p>
        </w:tc>
      </w:tr>
      <w:tr>
        <w:tc>
          <w:tcPr>
            <w:tcW w:type="dxa" w:w="6120"/>
            <w:tcMar>
              <w:top w:type="dxa" w:w="90"/>
              <w:left w:type="dxa" w:w="110"/>
              <w:bottom w:type="dxa" w:w="90"/>
              <w:right w:type="dxa" w:w="110"/>
            </w:tcMar>
          </w:tcPr>
          <w:p>
            <w:pPr>
              <w:spacing w:after="0"/>
            </w:pPr>
            <w:r>
              <w:rPr>
                <w:b/>
                <w:bCs/>
              </w:rPr>
              <w:t xml:space="preserve">Documented instances of sponsor financial support to a comparable project (count)</w:t>
            </w:r>
            <w:r>
              <w:t xml:space="preserve"> </w:t>
            </w:r>
            <w:r>
              <w:rPr>
                <w:rFonts w:ascii="Consolas" w:cs="Consolas" w:eastAsia="Consolas" w:hAnsi="Consolas"/>
                <w:color w:val="7030A0"/>
                <w:sz w:val="17"/>
                <w:szCs w:val="17"/>
              </w:rPr>
              <w:t xml:space="preserve">{sponsor_support_comparable_count}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2</w:t>
            </w:r>
          </w:p>
        </w:tc>
      </w:tr>
      <w:tr>
        <w:tc>
          <w:tcPr>
            <w:tcW w:type="dxa" w:w="6120"/>
            <w:tcMar>
              <w:top w:type="dxa" w:w="90"/>
              <w:left w:type="dxa" w:w="110"/>
              <w:bottom w:type="dxa" w:w="90"/>
              <w:right w:type="dxa" w:w="110"/>
            </w:tcMar>
          </w:tcPr>
          <w:p>
            <w:pPr>
              <w:spacing w:after="0"/>
            </w:pPr>
            <w:r>
              <w:rPr>
                <w:b/>
                <w:bCs/>
              </w:rPr>
              <w:t xml:space="preserve">Documented committed sponsor support to </w:t>
            </w:r>
            <w:r>
              <w:rPr>
                <w:b/>
                <w:bCs/>
              </w:rPr>
              <w:t xml:space="preserve">this</w:t>
            </w:r>
            <w:r>
              <w:rPr>
                <w:b/>
                <w:bCs/>
              </w:rPr>
              <w:t xml:space="preserve"> project</w:t>
            </w:r>
            <w:r>
              <w:t xml:space="preserve"> </w:t>
            </w:r>
            <w:r>
              <w:rPr>
                <w:rFonts w:ascii="Consolas" w:cs="Consolas" w:eastAsia="Consolas" w:hAnsi="Consolas"/>
                <w:color w:val="7030A0"/>
                <w:sz w:val="17"/>
                <w:szCs w:val="17"/>
              </w:rPr>
              <w:t xml:space="preserve">{sponsor_support_this_project}</w:t>
            </w:r>
            <w:r>
              <w:t xml:space="preserve"> </w:t>
            </w:r>
            <w:r>
              <w:rPr>
                <w:i/>
                <w:iCs/>
              </w:rPr>
              <w:t xml:space="preserve">Select `YES` or `NO`. </w:t>
            </w:r>
            <w:r>
              <w:rPr>
                <w:b/>
                <w:bCs/>
              </w:rPr>
              <w:t xml:space="preserve">New in v3.0</w:t>
            </w:r>
            <w:r>
              <w:rPr>
                <w:i/>
                <w:iCs/>
              </w:rPr>
              <w:t xml:space="preserve"> </w:t>
            </w:r>
            <w:r>
              <w:t xml:space="preserve">(QA finding M11). CORE §3.6's row-3 sponsor condition has always required committed support to </w:t>
            </w:r>
            <w:r>
              <w:rPr>
                <w:b/>
                <w:bCs/>
              </w:rPr>
              <w:t xml:space="preserve">this</w:t>
            </w:r>
            <w:r>
              <w:t xml:space="preserve"> project, but v2.0 collected only support to a </w:t>
            </w:r>
            <w:r>
              <w:rPr>
                <w:b/>
                <w:bCs/>
              </w:rPr>
              <w:t xml:space="preserve">comparable</w:t>
            </w:r>
            <w:r>
              <w:t xml:space="preserve"> project, so that row was not scoreable from the inputs. Detail the commitment in the notes field below.*</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Sponsor support detail</w:t>
            </w:r>
            <w:r>
              <w:t xml:space="preserve"> </w:t>
            </w:r>
            <w:r>
              <w:rPr>
                <w:i/>
                <w:iCs/>
              </w:rPr>
              <w:t xml:space="preserve">For each instance: the project, form of support, amount, and date. Enter </w:t>
            </w:r>
            <w:r>
              <w:rPr>
                <w:i/>
                <w:iCs/>
              </w:rPr>
              <w:t xml:space="preserve">"</w:t>
            </w:r>
            <w:r>
              <w:rPr>
                <w:i/>
                <w:iCs/>
              </w:rPr>
              <w:t xml:space="preserve">None to date</w:t>
            </w:r>
            <w:r>
              <w:rPr>
                <w:i/>
                <w:iCs/>
              </w:rPr>
              <w:t xml:space="preserve">"</w:t>
            </w:r>
            <w:r>
              <w:rPr>
                <w:i/>
                <w:iCs/>
              </w:rPr>
              <w:t xml:space="preserve"> if the count above is zero.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1"/>
        <w:spacing w:after="160" w:before="320"/>
      </w:pPr>
      <w:r>
        <w:rPr>
          <w:b/>
          <w:bCs/>
          <w:color w:val="1F3864"/>
          <w:sz w:val="30"/>
          <w:szCs w:val="30"/>
        </w:rPr>
        <w:t xml:space="preserve">Block D — Structural Protections</w:t>
      </w:r>
    </w:p>
    <w:p>
      <w:pPr>
        <w:spacing w:after="120"/>
      </w:pPr>
      <w:r>
        <w:rPr>
          <w:i/>
          <w:iCs/>
          <w:sz w:val="20"/>
          <w:szCs w:val="20"/>
        </w:rPr>
        <w:t xml:space="preserve">Feeds CORE v2.0 Sections 6.1–6.3. Scored strictly on the count of protections present — every answer is a plain Yes or No and the tier follows arithmetically.</w:t>
      </w:r>
    </w:p>
    <w:p>
      <w:pPr>
        <w:pStyle w:val="Heading3"/>
        <w:spacing w:after="110" w:before="240"/>
      </w:pPr>
      <w:r>
        <w:rPr>
          <w:b/>
          <w:bCs/>
          <w:color w:val="4472C4"/>
          <w:sz w:val="21"/>
          <w:szCs w:val="21"/>
        </w:rPr>
        <w:t xml:space="preserve">D.1  Security and Cash-flow Waterfall</w:t>
      </w:r>
    </w:p>
    <w:p>
      <w:pPr>
        <w:spacing w:after="120"/>
      </w:pPr>
      <w:r>
        <w:rPr>
          <w:i/>
          <w:iCs/>
          <w:sz w:val="20"/>
          <w:szCs w:val="20"/>
        </w:rPr>
        <w:t xml:space="preserve">Feeds CORE §6.1 (8 pts). Element 2 — the security package — counts as present where at least three of the four charges and assignments below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Element 1 — Trustee or escrow-administered payment waterfall in place</w:t>
            </w:r>
            <w:r>
              <w:t xml:space="preserve"> </w:t>
            </w:r>
            <w:r>
              <w:rPr>
                <w:rFonts w:ascii="Consolas" w:cs="Consolas" w:eastAsia="Consolas" w:hAnsi="Consolas"/>
                <w:color w:val="7030A0"/>
                <w:sz w:val="17"/>
                <w:szCs w:val="17"/>
              </w:rPr>
              <w:t xml:space="preserve">{waterfall_trustee}</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Element 2(a) — Charge over project assets</w:t>
            </w:r>
            <w:r>
              <w:t xml:space="preserve"> </w:t>
            </w:r>
            <w:r>
              <w:rPr>
                <w:rFonts w:ascii="Consolas" w:cs="Consolas" w:eastAsia="Consolas" w:hAnsi="Consolas"/>
                <w:color w:val="7030A0"/>
                <w:sz w:val="17"/>
                <w:szCs w:val="17"/>
              </w:rPr>
              <w:t xml:space="preserve">{security_charge_assets}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Element 2(b) — Assignment of project contracts (PPA, EPC, O</w:t>
            </w:r>
            <w:r>
              <w:rPr>
                <w:b/>
                <w:bCs/>
              </w:rPr>
              <w:t xml:space="preserve">&amp;</w:t>
            </w:r>
            <w:r>
              <w:rPr>
                <w:b/>
                <w:bCs/>
              </w:rPr>
              <w:t xml:space="preserve">M)</w:t>
            </w:r>
            <w:r>
              <w:t xml:space="preserve"> </w:t>
            </w:r>
            <w:r>
              <w:rPr>
                <w:rFonts w:ascii="Consolas" w:cs="Consolas" w:eastAsia="Consolas" w:hAnsi="Consolas"/>
                <w:color w:val="7030A0"/>
                <w:sz w:val="17"/>
                <w:szCs w:val="17"/>
              </w:rPr>
              <w:t xml:space="preserve">{security_assignment_contracts}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Element 2(c) — Charge over project bank accounts</w:t>
            </w:r>
            <w:r>
              <w:t xml:space="preserve"> </w:t>
            </w:r>
            <w:r>
              <w:rPr>
                <w:rFonts w:ascii="Consolas" w:cs="Consolas" w:eastAsia="Consolas" w:hAnsi="Consolas"/>
                <w:color w:val="7030A0"/>
                <w:sz w:val="17"/>
                <w:szCs w:val="17"/>
              </w:rPr>
              <w:t xml:space="preserve">{security_charge_accounts}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Element 2(d) — Pledge of sponsor shares in the SPV</w:t>
            </w:r>
            <w:r>
              <w:t xml:space="preserve"> </w:t>
            </w:r>
            <w:r>
              <w:rPr>
                <w:rFonts w:ascii="Consolas" w:cs="Consolas" w:eastAsia="Consolas" w:hAnsi="Consolas"/>
                <w:color w:val="7030A0"/>
                <w:sz w:val="17"/>
                <w:szCs w:val="17"/>
              </w:rPr>
              <w:t xml:space="preserve">{security_pledge_shares}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w:t>
            </w:r>
          </w:p>
        </w:tc>
      </w:tr>
      <w:tr>
        <w:tc>
          <w:tcPr>
            <w:tcW w:type="dxa" w:w="6120"/>
            <w:tcMar>
              <w:top w:type="dxa" w:w="90"/>
              <w:left w:type="dxa" w:w="110"/>
              <w:bottom w:type="dxa" w:w="90"/>
              <w:right w:type="dxa" w:w="110"/>
            </w:tcMar>
          </w:tcPr>
          <w:p>
            <w:pPr>
              <w:spacing w:after="0"/>
            </w:pPr>
            <w:r>
              <w:rPr>
                <w:b/>
                <w:bCs/>
              </w:rPr>
              <w:t xml:space="preserve">Element 3 — Distribution lock-up tied to a stated minimum DSCR test</w:t>
            </w:r>
            <w:r>
              <w:t xml:space="preserve"> </w:t>
            </w:r>
            <w:r>
              <w:rPr>
                <w:rFonts w:ascii="Consolas" w:cs="Consolas" w:eastAsia="Consolas" w:hAnsi="Consolas"/>
                <w:color w:val="7030A0"/>
                <w:sz w:val="17"/>
                <w:szCs w:val="17"/>
              </w:rPr>
              <w:t xml:space="preserve">{distribution_lockup}</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w:t>
            </w:r>
          </w:p>
        </w:tc>
      </w:tr>
      <w:tr>
        <w:tc>
          <w:tcPr>
            <w:tcW w:type="dxa" w:w="6120"/>
            <w:tcMar>
              <w:top w:type="dxa" w:w="90"/>
              <w:left w:type="dxa" w:w="110"/>
              <w:bottom w:type="dxa" w:w="90"/>
              <w:right w:type="dxa" w:w="110"/>
            </w:tcMar>
          </w:tcPr>
          <w:p>
            <w:pPr>
              <w:spacing w:after="0"/>
            </w:pPr>
            <w:r>
              <w:rPr>
                <w:b/>
                <w:bCs/>
              </w:rPr>
              <w:t xml:space="preserve">Lock-up DSCR threshold</w:t>
            </w:r>
            <w:r>
              <w:t xml:space="preserve"> </w:t>
            </w:r>
            <w:r>
              <w:rPr>
                <w:rFonts w:ascii="Consolas" w:cs="Consolas" w:eastAsia="Consolas" w:hAnsi="Consolas"/>
                <w:color w:val="7030A0"/>
                <w:sz w:val="17"/>
                <w:szCs w:val="17"/>
              </w:rPr>
              <w:t xml:space="preserve">{lockup_dscr_threshold}</w:t>
            </w:r>
            <w:r>
              <w:t xml:space="preserve"> </w:t>
            </w:r>
            <w:r>
              <w:rPr>
                <w:i/>
                <w:iCs/>
              </w:rPr>
              <w:t xml:space="preserve">State the threshold as a multiple if Element 3 is `YES` (e.g. 1.10); leave blank if `NO`. Audit trail; not scored.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D.2  Debt and Investment Covenants</w:t>
      </w:r>
    </w:p>
    <w:p>
      <w:pPr>
        <w:spacing w:after="120"/>
      </w:pPr>
      <w:r>
        <w:rPr>
          <w:i/>
          <w:iCs/>
          <w:sz w:val="20"/>
          <w:szCs w:val="20"/>
        </w:rPr>
        <w:t xml:space="preserve">Feeds CORE §6.2 (6 pts), scored on the count of the four covenants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Restriction on additional indebtedness</w:t>
            </w:r>
            <w:r>
              <w:t xml:space="preserve"> </w:t>
            </w:r>
            <w:r>
              <w:rPr>
                <w:rFonts w:ascii="Consolas" w:cs="Consolas" w:eastAsia="Consolas" w:hAnsi="Consolas"/>
                <w:color w:val="7030A0"/>
                <w:sz w:val="17"/>
                <w:szCs w:val="17"/>
              </w:rPr>
              <w:t xml:space="preserve">{cov_additional_indebtedness}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Restriction on asset sales</w:t>
            </w:r>
            <w:r>
              <w:t xml:space="preserve"> </w:t>
            </w:r>
            <w:r>
              <w:rPr>
                <w:rFonts w:ascii="Consolas" w:cs="Consolas" w:eastAsia="Consolas" w:hAnsi="Consolas"/>
                <w:color w:val="7030A0"/>
                <w:sz w:val="17"/>
                <w:szCs w:val="17"/>
              </w:rPr>
              <w:t xml:space="preserve">{cov_asset_sales}</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Restriction on change of control</w:t>
            </w:r>
            <w:r>
              <w:t xml:space="preserve"> </w:t>
            </w:r>
            <w:r>
              <w:rPr>
                <w:rFonts w:ascii="Consolas" w:cs="Consolas" w:eastAsia="Consolas" w:hAnsi="Consolas"/>
                <w:color w:val="7030A0"/>
                <w:sz w:val="17"/>
                <w:szCs w:val="17"/>
              </w:rPr>
              <w:t xml:space="preserve">{cov_change_of_control}</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Lender step-in rights</w:t>
            </w:r>
            <w:r>
              <w:t xml:space="preserve"> </w:t>
            </w:r>
            <w:r>
              <w:rPr>
                <w:rFonts w:ascii="Consolas" w:cs="Consolas" w:eastAsia="Consolas" w:hAnsi="Consolas"/>
                <w:color w:val="7030A0"/>
                <w:sz w:val="17"/>
                <w:szCs w:val="17"/>
              </w:rPr>
              <w:t xml:space="preserve">{cov_lender_stepin}</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w:t>
            </w:r>
          </w:p>
        </w:tc>
      </w:tr>
    </w:tbl>
    <w:p>
      <w:pPr>
        <w:spacing w:after="140"/>
      </w:pPr>
      <w:r>
        <w:t xml:space="preserve"/>
      </w:r>
    </w:p>
    <w:p>
      <w:pPr>
        <w:pStyle w:val="Heading3"/>
        <w:spacing w:after="110" w:before="240"/>
      </w:pPr>
      <w:r>
        <w:rPr>
          <w:b/>
          <w:bCs/>
          <w:color w:val="4472C4"/>
          <w:sz w:val="21"/>
          <w:szCs w:val="21"/>
        </w:rPr>
        <w:t xml:space="preserve">D.3  Reporting, Hedging and Insurance</w:t>
      </w:r>
    </w:p>
    <w:p>
      <w:pPr>
        <w:spacing w:after="120"/>
      </w:pPr>
      <w:r>
        <w:rPr>
          <w:i/>
          <w:iCs/>
          <w:sz w:val="20"/>
          <w:szCs w:val="20"/>
        </w:rPr>
        <w:t xml:space="preserve">Feeds CORE §6.3 (6 pts), scored on the count of the three items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Regular compliance and financial reporting covenant in place</w:t>
            </w:r>
            <w:r>
              <w:t xml:space="preserve"> </w:t>
            </w:r>
            <w:r>
              <w:rPr>
                <w:rFonts w:ascii="Consolas" w:cs="Consolas" w:eastAsia="Consolas" w:hAnsi="Consolas"/>
                <w:color w:val="7030A0"/>
                <w:sz w:val="17"/>
                <w:szCs w:val="17"/>
              </w:rPr>
              <w:t xml:space="preserve">{reporting_covenant}</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Interest-rate / FX hedging policy in place</w:t>
            </w:r>
            <w:r>
              <w:t xml:space="preserve"> </w:t>
            </w:r>
            <w:r>
              <w:rPr>
                <w:rFonts w:ascii="Consolas" w:cs="Consolas" w:eastAsia="Consolas" w:hAnsi="Consolas"/>
                <w:color w:val="7030A0"/>
                <w:sz w:val="17"/>
                <w:szCs w:val="17"/>
              </w:rPr>
              <w:t xml:space="preserve">{hedging_policy}</w:t>
            </w:r>
            <w:r>
              <w:t xml:space="preserve"> </w:t>
            </w:r>
            <w:r>
              <w:rPr>
                <w:i/>
                <w:iCs/>
              </w:rPr>
              <w:t xml:space="preserve">Select one (`YNNA_3`): `YES` · `NO` · `NOT_APPLICABLE_FIXED_RATE` — fully fixed-rate rupee facility with no FX exposure. `NOT_APPLICABLE_FIXED_RATE` is </w:t>
            </w:r>
            <w:r>
              <w:rPr>
                <w:i/>
                <w:iCs/>
              </w:rPr>
              <w:t xml:space="preserve">scored as present</w:t>
            </w:r>
            <w:r>
              <w:rPr>
                <w:i/>
                <w:iCs/>
              </w:rPr>
              <w:t xml:space="preserve"> per CORE §6.3, and is a different answer from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NOT_APPLICABLE_FIXED_RATE</w:t>
            </w:r>
          </w:p>
        </w:tc>
      </w:tr>
      <w:tr>
        <w:tc>
          <w:tcPr>
            <w:tcW w:type="dxa" w:w="6120"/>
            <w:tcMar>
              <w:top w:type="dxa" w:w="90"/>
              <w:left w:type="dxa" w:w="110"/>
              <w:bottom w:type="dxa" w:w="90"/>
              <w:right w:type="dxa" w:w="110"/>
            </w:tcMar>
          </w:tcPr>
          <w:p>
            <w:pPr>
              <w:spacing w:after="0"/>
            </w:pPr>
            <w:r>
              <w:rPr>
                <w:b/>
                <w:bCs/>
              </w:rPr>
              <w:t xml:space="preserve">Insurance package adequate, including business-interruption cover</w:t>
            </w:r>
            <w:r>
              <w:t xml:space="preserve"> </w:t>
            </w:r>
            <w:r>
              <w:rPr>
                <w:rFonts w:ascii="Consolas" w:cs="Consolas" w:eastAsia="Consolas" w:hAnsi="Consolas"/>
                <w:color w:val="7030A0"/>
                <w:sz w:val="17"/>
                <w:szCs w:val="17"/>
              </w:rPr>
              <w:t xml:space="preserve">{insurance_business_interruption}</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bl>
    <w:p>
      <w:pPr>
        <w:spacing w:after="140"/>
      </w:pPr>
      <w:r>
        <w:t xml:space="preserve"/>
      </w:r>
    </w:p>
    <w:p>
      <w:pPr>
        <w:pStyle w:val="Heading1"/>
        <w:spacing w:after="160" w:before="320"/>
      </w:pPr>
      <w:r>
        <w:rPr>
          <w:b/>
          <w:bCs/>
          <w:color w:val="1F3864"/>
          <w:sz w:val="30"/>
          <w:szCs w:val="30"/>
        </w:rPr>
        <w:t xml:space="preserve">Notching Inputs</w:t>
      </w:r>
    </w:p>
    <w:p>
      <w:pPr>
        <w:spacing w:after="120"/>
      </w:pPr>
      <w:r>
        <w:rPr>
          <w:i/>
          <w:iCs/>
          <w:sz w:val="20"/>
          <w:szCs w:val="20"/>
        </w:rPr>
        <w:t xml:space="preserve">Feeds CORE v2.0 Section 7. These are applied after the 115-point score, not blended into it.</w:t>
      </w:r>
    </w:p>
    <w:p>
      <w:pPr>
        <w:pStyle w:val="Heading3"/>
        <w:spacing w:after="110" w:before="240"/>
      </w:pPr>
      <w:r>
        <w:rPr>
          <w:b/>
          <w:bCs/>
          <w:color w:val="4472C4"/>
          <w:sz w:val="21"/>
          <w:szCs w:val="21"/>
        </w:rPr>
        <w:t xml:space="preserve">N.1  Offtaker / Counterparty — General</w:t>
      </w:r>
    </w:p>
    <w:p>
      <w:pPr>
        <w:spacing w:after="120"/>
      </w:pPr>
      <w:r>
        <w:rPr>
          <w:i/>
          <w:iCs/>
          <w:sz w:val="20"/>
          <w:szCs w:val="20"/>
        </w:rPr>
        <w:t xml:space="preserve">v2.0 raises the single-offtaker dominance threshold to 25%. The worst tier among all offtakers at or above 25% governs. Four individual offtaker blocks plus an aggregated line are provided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Number of offtakers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spacing w:after="120"/>
      </w:pPr>
      <w:r>
        <w:rPr>
          <w:i/>
          <w:iCs/>
          <w:sz w:val="20"/>
          <w:szCs w:val="20"/>
        </w:rPr>
        <w:t xml:space="preserve">The self-certification field "Contracted revenue shares sum to 100% ± 1 percentage point — Yes/No" is </w:t>
      </w:r>
      <w:r>
        <w:rPr>
          <w:i/>
          <w:iCs/>
          <w:sz w:val="20"/>
          <w:szCs w:val="20"/>
        </w:rPr>
        <w:t xml:space="preserve">deleted in v3.0</w:t>
      </w:r>
      <w:r>
        <w:rPr>
          <w:i/>
          <w:iCs/>
          <w:sz w:val="20"/>
          <w:szCs w:val="20"/>
        </w:rPr>
        <w:t xml:space="preserve"> (QA finding m15). It asked the user to assert a fact the engine computes arithmetically from the shares below, and gave no rule for which governed when the two disagreed. CORE §10.1 rule V3 performs the test on the entered shares and blocks on failure. </w:t>
      </w:r>
      <w:r>
        <w:rPr>
          <w:i/>
          <w:iCs/>
          <w:sz w:val="20"/>
          <w:szCs w:val="20"/>
        </w:rPr>
        <w:t xml:space="preserve">Shares are now entered as decimal fractions and must sum to 1.0000 ± 0.0100.</w:t>
      </w:r>
      <w:r>
        <w:rPr>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How to complete N.2–N.6.</w:t>
            </w:r>
            <w:r>
              <w:rPr>
                <w:sz w:val="18"/>
                <w:szCs w:val="18"/>
              </w:rPr>
              <w:t xml:space="preserve"> • Enter the four largest offtakers by contracted revenue share in N.2 to N.5, largest first. • Where the project has more than four, aggregate the remainder into N.6 and record the worst internal risk tier among them. • Where the project has fewer than four, leave the unused blocks blank and enter 0 at N.6. • </w:t>
            </w:r>
            <w:r>
              <w:rPr>
                <w:b/>
                <w:bCs/>
                <w:sz w:val="18"/>
                <w:szCs w:val="18"/>
              </w:rPr>
              <w:t xml:space="preserve">All shares are decimal fractions</w:t>
            </w:r>
            <w:r>
              <w:rPr>
                <w:sz w:val="18"/>
                <w:szCs w:val="18"/>
              </w:rPr>
              <w:t xml:space="preserve"> and must sum to 1.0000 ± 0.0100 across N.2–N.6. • </w:t>
            </w:r>
            <w:r>
              <w:rPr>
                <w:b/>
                <w:bCs/>
                <w:sz w:val="18"/>
                <w:szCs w:val="18"/>
              </w:rPr>
              <w:t xml:space="preserve">The N.6 aggregated line counts as a single counterparty</w:t>
            </w:r>
            <w:r>
              <w:rPr>
                <w:sz w:val="18"/>
                <w:szCs w:val="18"/>
              </w:rPr>
              <w:t xml:space="preserve"> for the 25% dominance test and for the blended tier (CORE §7.1 Step 3, stated explicitly from v3.0). </w:t>
            </w:r>
            <w:r>
              <w:rPr>
                <w:b/>
                <w:bCs/>
                <w:sz w:val="18"/>
                <w:szCs w:val="18"/>
              </w:rPr>
              <w:t xml:space="preserve">C&amp;I rating scale</w:t>
            </w:r>
            <w:r>
              <w:rPr>
                <w:sz w:val="18"/>
                <w:szCs w:val="18"/>
              </w:rPr>
              <w:t xml:space="preserve"> — the SEBI-standardised national long-term scale, all twenty symbols (CORE §7.1 Step 1): Strong = AAA, AA+, AA, AA− │ Adequate = A+, A, A−, BBB+, BBB, BBB− │ Weak = BB+, BB, BB−, B+, B, B− │ Poor / Unrated = C+, C, C−, D, or unrated. </w:t>
            </w:r>
            <w:r>
              <w:rPr>
                <w:i/>
                <w:iCs/>
                <w:sz w:val="18"/>
                <w:szCs w:val="18"/>
              </w:rPr>
              <w:t xml:space="preserve">v2.0 read "CCC+ and below" here, which is S&amp;P/Fitch international notation and not a symbol on the Indian scale, leaving C+ and C− enumerated nowhere.</w:t>
            </w:r>
            <w:r>
              <w:rPr>
                <w:sz w:val="18"/>
                <w:szCs w:val="18"/>
              </w:rPr>
              <w:t xml:space="preserve"> Note: the BBB−/BB+ step converts a −1 notch into a −2 notch plus a BB band cap. Record the modifier exactly as published. </w:t>
            </w:r>
            <w:r>
              <w:rPr>
                <w:b/>
                <w:bCs/>
                <w:sz w:val="18"/>
                <w:szCs w:val="18"/>
              </w:rPr>
              <w:t xml:space="preserve">DISCOM grade reference</w:t>
            </w:r>
            <w:r>
              <w:rPr>
                <w:sz w:val="18"/>
                <w:szCs w:val="18"/>
              </w:rPr>
              <w:t xml:space="preserve"> — all seven Ministry of Power grades: Strong = A+, A │ Adequate = B, B− │ Weak = C, C− │ Poor / Unrated = D or not yet rated</w:t>
            </w:r>
          </w:p>
        </w:tc>
      </w:tr>
    </w:tbl>
    <w:p>
      <w:pPr>
        <w:spacing w:after="140"/>
      </w:pPr>
      <w:r>
        <w:t xml:space="preserve"/>
      </w:r>
    </w:p>
    <w:p>
      <w:pPr>
        <w:pStyle w:val="Heading3"/>
        <w:spacing w:after="110" w:before="240"/>
      </w:pPr>
      <w:r>
        <w:rPr>
          <w:b/>
          <w:bCs/>
          <w:color w:val="4472C4"/>
          <w:sz w:val="21"/>
          <w:szCs w:val="21"/>
        </w:rPr>
        <w:t xml:space="preserve">N.2  Offtaker 1 (Largest by Contracted Revenue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0.2500]  Offtaker type</w:t>
            </w:r>
            <w:r>
              <w:rPr>
                <w:color w:val="9C0006"/>
              </w:rPr>
              <w:t xml:space="preserve"> </w:t>
            </w:r>
            <w:r>
              <w:rPr>
                <w:rFonts w:ascii="Consolas" w:cs="Consolas" w:eastAsia="Consolas" w:hAnsi="Consolas"/>
                <w:color w:val="7030A0"/>
                <w:sz w:val="17"/>
                <w:szCs w:val="17"/>
              </w:rPr>
              <w:t xml:space="preserve">{offtakers[0].type}</w:t>
            </w:r>
            <w:r>
              <w:rPr>
                <w:color w:val="9C0006"/>
              </w:rPr>
              <w:t xml:space="preserve"> </w:t>
            </w:r>
            <w:r>
              <w:rPr>
                <w:i/>
                <w:iCs/>
                <w:color w:val="9C0006"/>
              </w:rPr>
              <w:t xml:space="preserve">Select one (`OFFTAKER_TYPE_2`): `OFFTAKER_CI` Commercial &amp; Industrial · `OFFTAKER_DISCOM`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OFFTAKER_DISCOM</w:t>
            </w:r>
          </w:p>
        </w:tc>
      </w:tr>
      <w:tr>
        <w:tc>
          <w:tcPr>
            <w:tcW w:type="dxa" w:w="6120"/>
            <w:tcMar>
              <w:top w:type="dxa" w:w="90"/>
              <w:left w:type="dxa" w:w="110"/>
              <w:bottom w:type="dxa" w:w="90"/>
              <w:right w:type="dxa" w:w="110"/>
            </w:tcMar>
          </w:tcPr>
          <w:p>
            <w:pPr>
              <w:spacing w:after="0"/>
            </w:pPr>
            <w:r>
              <w:rPr>
                <w:b/>
                <w:bCs/>
                <w:color w:val="9C0006"/>
              </w:rPr>
              <w:t xml:space="preserve">[CRITICAL where share ≥ 0.2500]  Share of contracted project revenue</w:t>
            </w:r>
            <w:r>
              <w:rPr>
                <w:color w:val="9C0006"/>
              </w:rPr>
              <w:t xml:space="preserve"> </w:t>
            </w:r>
            <w:r>
              <w:rPr>
                <w:rFonts w:ascii="Consolas" w:cs="Consolas" w:eastAsia="Consolas" w:hAnsi="Consolas"/>
                <w:color w:val="7030A0"/>
                <w:sz w:val="17"/>
                <w:szCs w:val="17"/>
              </w:rPr>
              <w:t xml:space="preserve">{offtakers[0].contracted_share}</w:t>
            </w:r>
            <w:r>
              <w:rPr>
                <w:color w:val="9C0006"/>
              </w:rPr>
              <w:t xml:space="preserve"> *</w:t>
            </w:r>
            <w:r>
              <w:rPr>
                <w:b/>
                <w:bCs/>
                <w:color w:val="9C0006"/>
              </w:rPr>
              <w:t xml:space="preserve">Decimal fraction</w:t>
            </w:r>
            <w:r>
              <w:rPr>
                <w:i/>
                <w:iCs/>
                <w:color w:val="9C0006"/>
              </w:rPr>
              <w:t xml:space="preserve"> </w:t>
            </w:r>
            <w:r>
              <w:rPr>
                <w:color w:val="9C0006"/>
              </w:rPr>
              <w:t xml:space="preserve">— 0.4500 for 45%*</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1</w:t>
            </w:r>
          </w:p>
        </w:tc>
      </w:tr>
      <w:tr>
        <w:tc>
          <w:tcPr>
            <w:tcW w:type="dxa" w:w="6120"/>
            <w:tcMar>
              <w:top w:type="dxa" w:w="90"/>
              <w:left w:type="dxa" w:w="110"/>
              <w:bottom w:type="dxa" w:w="90"/>
              <w:right w:type="dxa" w:w="110"/>
            </w:tcMar>
          </w:tcPr>
          <w:p>
            <w:pPr>
              <w:spacing w:after="0"/>
            </w:pPr>
            <w:r>
              <w:rPr>
                <w:b/>
                <w:bCs/>
                <w:color w:val="9C0006"/>
              </w:rPr>
              <w:t xml:space="preserve">[CRITICAL where share ≥ 25%]  If C</w:t>
            </w:r>
            <w:r>
              <w:rPr>
                <w:b/>
                <w:bCs/>
                <w:color w:val="9C0006"/>
              </w:rPr>
              <w:t xml:space="preserve">&amp;</w:t>
            </w:r>
            <w:r>
              <w:rPr>
                <w:b/>
                <w:bCs/>
                <w:color w:val="9C0006"/>
              </w:rPr>
              <w:t xml:space="preserve">I: published long-term credit rating with modifier, agency, and date</w:t>
            </w:r>
            <w:r>
              <w:rPr>
                <w:color w:val="9C0006"/>
              </w:rPr>
              <w:t xml:space="preserve"> </w:t>
            </w:r>
            <w:r>
              <w:rPr>
                <w:i/>
                <w:iCs/>
                <w:color w:val="9C0006"/>
              </w:rPr>
              <w:t xml:space="preserve">e.g. </w:t>
            </w:r>
            <w:r>
              <w:rPr>
                <w:i/>
                <w:iCs/>
                <w:color w:val="9C0006"/>
              </w:rPr>
              <w:t xml:space="preserve">"</w:t>
            </w:r>
            <w:r>
              <w:rPr>
                <w:i/>
                <w:iCs/>
                <w:color w:val="9C0006"/>
              </w:rPr>
              <w:t xml:space="preserve">AA−, CRISIL, 12-03-2026</w:t>
            </w:r>
            <w:r>
              <w:rPr>
                <w:i/>
                <w:iCs/>
                <w:color w:val="9C0006"/>
              </w:rPr>
              <w:t xml:space="preserve">"</w:t>
            </w:r>
            <w:r>
              <w:rPr>
                <w:i/>
                <w:iCs/>
                <w:color w:val="9C0006"/>
              </w:rPr>
              <w:t xml:space="preserve">. A rating more than twelve months old is flagged stale at CORE §9.9. Enter </w:t>
            </w:r>
            <w:r>
              <w:rPr>
                <w:i/>
                <w:iCs/>
                <w:color w:val="9C0006"/>
              </w:rPr>
              <w:t xml:space="preserve">"</w:t>
            </w:r>
            <w:r>
              <w:rPr>
                <w:i/>
                <w:iCs/>
                <w:color w:val="9C0006"/>
              </w:rPr>
              <w:t xml:space="preserve">Not Applicable</w:t>
            </w:r>
            <w:r>
              <w:rPr>
                <w:i/>
                <w:iCs/>
                <w:color w:val="9C0006"/>
              </w:rPr>
              <w:t xml:space="preserve">"</w:t>
            </w:r>
            <w:r>
              <w:rPr>
                <w:i/>
                <w:iCs/>
                <w:color w:val="9C0006"/>
              </w:rPr>
              <w:t xml:space="preserve"> if this offtaker is a DISCOM.</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color w:val="9C0006"/>
              </w:rPr>
              <w:t xml:space="preserve">[CRITICAL where share ≥ 25%]  If DISCOM: Integrated Rating </w:t>
            </w:r>
            <w:r>
              <w:rPr>
                <w:b/>
                <w:bCs/>
                <w:color w:val="9C0006"/>
              </w:rPr>
              <w:t xml:space="preserve">&amp;</w:t>
            </w:r>
            <w:r>
              <w:rPr>
                <w:b/>
                <w:bCs/>
                <w:color w:val="9C0006"/>
              </w:rPr>
              <w:t xml:space="preserve"> Ranking grade, edition, and report date</w:t>
            </w:r>
            <w:r>
              <w:rPr>
                <w:color w:val="9C0006"/>
              </w:rPr>
              <w:t xml:space="preserve"> </w:t>
            </w:r>
            <w:r>
              <w:rPr>
                <w:i/>
                <w:iCs/>
                <w:color w:val="9C0006"/>
              </w:rPr>
              <w:t xml:space="preserve">e.g. </w:t>
            </w:r>
            <w:r>
              <w:rPr>
                <w:i/>
                <w:iCs/>
                <w:color w:val="9C0006"/>
              </w:rPr>
              <w:t xml:space="preserve">"</w:t>
            </w:r>
            <w:r>
              <w:rPr>
                <w:i/>
                <w:iCs/>
                <w:color w:val="9C0006"/>
              </w:rPr>
              <w:t xml:space="preserve">A, 14th Annual Integrated Rating </w:t>
            </w:r>
            <w:r>
              <w:rPr>
                <w:i/>
                <w:iCs/>
                <w:color w:val="9C0006"/>
              </w:rPr>
              <w:t xml:space="preserve">&amp;</w:t>
            </w:r>
            <w:r>
              <w:rPr>
                <w:i/>
                <w:iCs/>
                <w:color w:val="9C0006"/>
              </w:rPr>
              <w:t xml:space="preserve"> Ranking, FY25</w:t>
            </w:r>
            <w:r>
              <w:rPr>
                <w:i/>
                <w:iCs/>
                <w:color w:val="9C0006"/>
              </w:rPr>
              <w:t xml:space="preserve">"</w:t>
            </w:r>
            <w:r>
              <w:rPr>
                <w:i/>
                <w:iCs/>
                <w:color w:val="9C0006"/>
              </w:rPr>
              <w:t xml:space="preserve">. Enter </w:t>
            </w:r>
            <w:r>
              <w:rPr>
                <w:i/>
                <w:iCs/>
                <w:color w:val="9C0006"/>
              </w:rPr>
              <w:t xml:space="preserve">"</w:t>
            </w:r>
            <w:r>
              <w:rPr>
                <w:i/>
                <w:iCs/>
                <w:color w:val="9C0006"/>
              </w:rPr>
              <w:t xml:space="preserve">Not Applicable</w:t>
            </w:r>
            <w:r>
              <w:rPr>
                <w:i/>
                <w:iCs/>
                <w:color w:val="9C0006"/>
              </w:rPr>
              <w:t xml:space="preserve">"</w:t>
            </w:r>
            <w:r>
              <w:rPr>
                <w:i/>
                <w:iCs/>
                <w:color w:val="9C0006"/>
              </w:rPr>
              <w:t xml:space="preserve"> if this offtaker is a C</w:t>
            </w:r>
            <w:r>
              <w:rPr>
                <w:i/>
                <w:iCs/>
                <w:color w:val="9C0006"/>
              </w:rPr>
              <w:t xml:space="preserve">&amp;</w:t>
            </w:r>
            <w:r>
              <w:rPr>
                <w:i/>
                <w:iCs/>
                <w:color w:val="9C0006"/>
              </w:rPr>
              <w:t xml:space="preserve">I customer.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Copy one exactly: No · Yes — specify A </w:t>
            </w:r>
            <w:r>
              <w:rPr>
                <w:i/>
                <w:iCs/>
              </w:rPr>
              <w:t xml:space="preserve">"</w:t>
            </w:r>
            <w:r>
              <w:rPr>
                <w:i/>
                <w:iCs/>
              </w:rPr>
              <w:t xml:space="preserve">Yes</w:t>
            </w:r>
            <w:r>
              <w:rPr>
                <w:i/>
                <w:iCs/>
              </w:rPr>
              <w:t xml:space="preserve">"</w:t>
            </w:r>
            <w:r>
              <w:rPr>
                <w:i/>
                <w:iCs/>
              </w:rPr>
              <w:t xml:space="preserve"> flags the input stale at CORE §9.9 and downgrades confidence.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N.3  Offtaker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second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N.4  Offtaker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third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N.5  Offtaker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Offtaker name</w:t>
            </w:r>
            <w:r>
              <w:t xml:space="preserve"> </w:t>
            </w:r>
            <w:r>
              <w:rPr>
                <w:i/>
                <w:iCs/>
              </w:rPr>
              <w:t xml:space="preserve">Leave blank if there is no fourth offtaker</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Offtaker type</w:t>
            </w:r>
            <w:r>
              <w:t xml:space="preserve"> </w:t>
            </w:r>
            <w:r>
              <w:rPr>
                <w:i/>
                <w:iCs/>
              </w:rPr>
              <w:t xml:space="preserve">Select one (`OFFTAKER_TYPE_2`): `OFFTAKER_CI` · `OFFTAKER_DISCOM`. Leave blank if this offtaker slot is unused.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Share of contracted project revenue</w:t>
            </w:r>
            <w:r>
              <w:t xml:space="preserve"> *</w:t>
            </w:r>
            <w:r>
              <w:rPr>
                <w:b/>
                <w:bCs/>
              </w:rPr>
              <w:t xml:space="preserve">Decimal fraction</w:t>
            </w:r>
            <w:r>
              <w:rPr>
                <w:i/>
                <w:iCs/>
              </w:rPr>
              <w:t xml:space="preserve"> </w:t>
            </w:r>
            <w:r>
              <w:t xml:space="preserve">— 0.2000 for 20%*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C</w:t>
            </w:r>
            <w:r>
              <w:rPr>
                <w:b/>
                <w:bCs/>
              </w:rPr>
              <w:t xml:space="preserve">&amp;</w:t>
            </w:r>
            <w:r>
              <w:rPr>
                <w:b/>
                <w:bCs/>
              </w:rPr>
              <w:t xml:space="preserve">I: rating with modifier, agency, and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If DISCOM: grade, edition, and report date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More recent edition or rating action published but not used?</w:t>
            </w:r>
            <w:r>
              <w:t xml:space="preserve"> </w:t>
            </w:r>
            <w:r>
              <w:rPr>
                <w:i/>
                <w:iCs/>
              </w:rPr>
              <w:t xml:space="preserve">No · Yes — specify</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N.6  Other Offtakers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Number of offtakers aggregated here</w:t>
            </w:r>
            <w:r>
              <w:t xml:space="preserve"> </w:t>
            </w:r>
            <w:r>
              <w:rPr>
                <w:rFonts w:ascii="Consolas" w:cs="Consolas" w:eastAsia="Consolas" w:hAnsi="Consolas"/>
                <w:color w:val="7030A0"/>
                <w:sz w:val="17"/>
                <w:szCs w:val="17"/>
              </w:rPr>
              <w:t xml:space="preserve">{other_offtakers_count}</w:t>
            </w:r>
            <w:r>
              <w:t xml:space="preserve"> </w:t>
            </w:r>
            <w:r>
              <w:rPr>
                <w:i/>
                <w:iCs/>
              </w:rPr>
              <w:t xml:space="preserve">Enter 0 if the project has four or fewer offtakers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w:t>
            </w:r>
          </w:p>
        </w:tc>
      </w:tr>
      <w:tr>
        <w:tc>
          <w:tcPr>
            <w:tcW w:type="dxa" w:w="6120"/>
            <w:tcMar>
              <w:top w:type="dxa" w:w="90"/>
              <w:left w:type="dxa" w:w="110"/>
              <w:bottom w:type="dxa" w:w="90"/>
              <w:right w:type="dxa" w:w="110"/>
            </w:tcMar>
          </w:tcPr>
          <w:p>
            <w:pPr>
              <w:spacing w:after="0"/>
            </w:pPr>
            <w:r>
              <w:rPr>
                <w:b/>
                <w:bCs/>
              </w:rPr>
              <w:t xml:space="preserve">Combined share of contracted project revenue</w:t>
            </w:r>
            <w:r>
              <w:t xml:space="preserve"> </w:t>
            </w:r>
            <w:r>
              <w:rPr>
                <w:rFonts w:ascii="Consolas" w:cs="Consolas" w:eastAsia="Consolas" w:hAnsi="Consolas"/>
                <w:color w:val="7030A0"/>
                <w:sz w:val="17"/>
                <w:szCs w:val="17"/>
              </w:rPr>
              <w:t xml:space="preserve">{other_offtakers_share}</w:t>
            </w:r>
            <w:r>
              <w:t xml:space="preserve"> *</w:t>
            </w:r>
            <w:r>
              <w:rPr>
                <w:b/>
                <w:bCs/>
              </w:rPr>
              <w:t xml:space="preserve">Decimal fraction.</w:t>
            </w:r>
            <w:r>
              <w:rPr>
                <w:i/>
                <w:iCs/>
              </w:rPr>
              <w:t xml:space="preserve"> </w:t>
            </w:r>
            <w:r>
              <w:t xml:space="preserve">Enter 0 if the count above is 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w:t>
            </w:r>
          </w:p>
        </w:tc>
      </w:tr>
      <w:tr>
        <w:tc>
          <w:tcPr>
            <w:tcW w:type="dxa" w:w="6120"/>
            <w:tcMar>
              <w:top w:type="dxa" w:w="90"/>
              <w:left w:type="dxa" w:w="110"/>
              <w:bottom w:type="dxa" w:w="90"/>
              <w:right w:type="dxa" w:w="110"/>
            </w:tcMar>
          </w:tcPr>
          <w:p>
            <w:pPr>
              <w:spacing w:after="0"/>
            </w:pPr>
            <w:r>
              <w:rPr>
                <w:b/>
                <w:bCs/>
              </w:rPr>
              <w:t xml:space="preserve">Worst internal risk tier among the aggregated offtakers</w:t>
            </w:r>
            <w:r>
              <w:t xml:space="preserve"> </w:t>
            </w:r>
            <w:r>
              <w:rPr>
                <w:rFonts w:ascii="Consolas" w:cs="Consolas" w:eastAsia="Consolas" w:hAnsi="Consolas"/>
                <w:color w:val="7030A0"/>
                <w:sz w:val="17"/>
                <w:szCs w:val="17"/>
              </w:rPr>
              <w:t xml:space="preserve">{other_offtakers_worst_tier}</w:t>
            </w:r>
            <w:r>
              <w:t xml:space="preserve"> </w:t>
            </w:r>
            <w:r>
              <w:rPr>
                <w:i/>
                <w:iCs/>
              </w:rPr>
              <w:t xml:space="preserve">Select one (`COUNTERPARTY_4`): `CP_STRONG` · `CP_ADEQUATE` · `CP_WEAK` · `CP_POOR_UNRATED`. Leave blank if the count above is 0.</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Basis for the worst tier stated above</w:t>
            </w:r>
            <w:r>
              <w:t xml:space="preserve"> </w:t>
            </w:r>
            <w:r>
              <w:rPr>
                <w:i/>
                <w:iCs/>
              </w:rPr>
              <w:t xml:space="preserve">Name the offtaker and its published rating or grade. </w:t>
            </w:r>
            <w:r>
              <w:rPr>
                <w:i/>
                <w:iCs/>
              </w:rPr>
              <w:t xml:space="preserve">Mandatory where the count above is greater than 0.</w:t>
            </w:r>
            <w:r>
              <w:t xml:space="preserve">*</w:t>
            </w:r>
            <w:r>
              <w:rPr>
                <w:i/>
                <w:iCs/>
              </w:rPr>
              <w:t xml:space="preserve"> </w:t>
            </w:r>
            <w:r>
              <w:t xml:space="preserve">This is the one field in the framework where the user performs a crosswalk the engine performs everywhere else, so the evidence is required. CORE §7.1 records it as a declared exception and the Results screen labels the tier as user-derived.*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The aggregated line is a single counterparty.</w:t>
            </w:r>
            <w:r>
              <w:rPr>
                <w:sz w:val="18"/>
                <w:szCs w:val="18"/>
              </w:rPr>
              <w:t xml:space="preserve"> Where </w:t>
            </w:r>
            <w:r>
              <w:rPr>
                <w:rFonts w:ascii="Consolas" w:cs="Consolas" w:eastAsia="Consolas" w:hAnsi="Consolas"/>
                <w:color w:val="7030A0"/>
                <w:sz w:val="17"/>
                <w:szCs w:val="17"/>
              </w:rPr>
              <w:t xml:space="preserve">other_offtakers_share</w:t>
            </w:r>
            <w:r>
              <w:rPr>
                <w:sz w:val="18"/>
                <w:szCs w:val="18"/>
              </w:rPr>
              <w:t xml:space="preserve"> reaches 0.2500, the CORE §7.1 dominance test fires on this line and </w:t>
            </w:r>
            <w:r>
              <w:rPr>
                <w:rFonts w:ascii="Consolas" w:cs="Consolas" w:eastAsia="Consolas" w:hAnsi="Consolas"/>
                <w:color w:val="7030A0"/>
                <w:sz w:val="17"/>
                <w:szCs w:val="17"/>
              </w:rPr>
              <w:t xml:space="preserve">other_offtakers_worst_tier</w:t>
            </w:r>
            <w:r>
              <w:rPr>
                <w:sz w:val="18"/>
                <w:szCs w:val="18"/>
              </w:rPr>
              <w:t xml:space="preserve"> governs the notch and the band cap for the whole project. Stated explicitly from v3.0: because four individual offtakers each below 25% cannot sum to 100%, this line is the </w:t>
            </w:r>
            <w:r>
              <w:rPr>
                <w:b/>
                <w:bCs/>
                <w:sz w:val="18"/>
                <w:szCs w:val="18"/>
              </w:rPr>
              <w:t xml:space="preserve">only</w:t>
            </w:r>
            <w:r>
              <w:rPr>
                <w:sz w:val="18"/>
                <w:szCs w:val="18"/>
              </w:rPr>
              <w:t xml:space="preserve"> route by which CORE's blended-tier fallback is reachable, so whether that fallback existed at all previously depended on an unwritten rule.</w:t>
            </w:r>
          </w:p>
        </w:tc>
      </w:tr>
    </w:tbl>
    <w:p>
      <w:pPr>
        <w:spacing w:after="140"/>
      </w:pPr>
      <w:r>
        <w:t xml:space="preserve"/>
      </w:r>
    </w:p>
    <w:p>
      <w:pPr>
        <w:pStyle w:val="Heading3"/>
        <w:spacing w:after="110" w:before="240"/>
      </w:pPr>
      <w:r>
        <w:rPr>
          <w:b/>
          <w:bCs/>
          <w:color w:val="4472C4"/>
          <w:sz w:val="21"/>
          <w:szCs w:val="21"/>
        </w:rPr>
        <w:t xml:space="preserve">N.7  Refinancing Risk</w:t>
      </w:r>
    </w:p>
    <w:p>
      <w:pPr>
        <w:spacing w:after="120"/>
      </w:pPr>
      <w:r>
        <w:rPr>
          <w:i/>
          <w:iCs/>
          <w:sz w:val="20"/>
          <w:szCs w:val="20"/>
        </w:rPr>
        <w:t xml:space="preserve">Feeds CORE §7.2. v2.0 collects the bullet share and each mitigant separately (rather than requiring pre-classification), so all bullet-share × mitigant combinations are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Bullet share</w:t>
            </w:r>
            <w:r>
              <w:t xml:space="preserve"> </w:t>
            </w:r>
            <w:r>
              <w:rPr>
                <w:rFonts w:ascii="Consolas" w:cs="Consolas" w:eastAsia="Consolas" w:hAnsi="Consolas"/>
                <w:color w:val="7030A0"/>
                <w:sz w:val="17"/>
                <w:szCs w:val="17"/>
              </w:rPr>
              <w:t xml:space="preserve">{bullet_share}</w:t>
            </w:r>
            <w:r>
              <w:t xml:space="preserve"> *</w:t>
            </w:r>
            <w:r>
              <w:rPr>
                <w:b/>
                <w:bCs/>
              </w:rPr>
              <w:t xml:space="preserve">Decimal fraction</w:t>
            </w:r>
            <w:r>
              <w:rPr>
                <w:i/>
                <w:iCs/>
              </w:rPr>
              <w:t xml:space="preserve"> </w:t>
            </w:r>
            <w:r>
              <w:t xml:space="preserve">— 0.1800 for 18%. Principal falling due in the final twelve months of the rated debt, as a fraction of original principal. ≤ 0.1000 = fully amortising · &gt; 0.1000 and ≤ 0.2500 = partial bullet · &gt; 0.2500 = large bullet*</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0.18</w:t>
            </w:r>
          </w:p>
        </w:tc>
      </w:tr>
      <w:tr>
        <w:tc>
          <w:tcPr>
            <w:tcW w:type="dxa" w:w="6120"/>
            <w:tcMar>
              <w:top w:type="dxa" w:w="90"/>
              <w:left w:type="dxa" w:w="110"/>
              <w:bottom w:type="dxa" w:w="90"/>
              <w:right w:type="dxa" w:w="110"/>
            </w:tcMar>
          </w:tcPr>
          <w:p>
            <w:pPr>
              <w:spacing w:after="0"/>
            </w:pPr>
            <w:r>
              <w:rPr>
                <w:b/>
                <w:bCs/>
              </w:rPr>
              <w:t xml:space="preserve">Mitigant 1 — contractual cash sweep applying 50% or more of surplus cash to prepayment</w:t>
            </w:r>
            <w:r>
              <w:t xml:space="preserve"> </w:t>
            </w:r>
            <w:r>
              <w:rPr>
                <w:rFonts w:ascii="Consolas" w:cs="Consolas" w:eastAsia="Consolas" w:hAnsi="Consolas"/>
                <w:color w:val="7030A0"/>
                <w:sz w:val="17"/>
                <w:szCs w:val="17"/>
              </w:rPr>
              <w:t xml:space="preserve">{mitigant_cash_sweep}</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Mitigant 2 — committed refinancing facility from a scheduled bank or NBFC</w:t>
            </w:r>
            <w:r>
              <w:t xml:space="preserve"> </w:t>
            </w:r>
            <w:r>
              <w:rPr>
                <w:rFonts w:ascii="Consolas" w:cs="Consolas" w:eastAsia="Consolas" w:hAnsi="Consolas"/>
                <w:color w:val="7030A0"/>
                <w:sz w:val="17"/>
                <w:szCs w:val="17"/>
              </w:rPr>
              <w:t xml:space="preserve">{mitigant_committed_refi}</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w:t>
            </w:r>
          </w:p>
        </w:tc>
      </w:tr>
      <w:tr>
        <w:tc>
          <w:tcPr>
            <w:tcW w:type="dxa" w:w="6120"/>
            <w:tcMar>
              <w:top w:type="dxa" w:w="90"/>
              <w:left w:type="dxa" w:w="110"/>
              <w:bottom w:type="dxa" w:w="90"/>
              <w:right w:type="dxa" w:w="110"/>
            </w:tcMar>
          </w:tcPr>
          <w:p>
            <w:pPr>
              <w:spacing w:after="0"/>
            </w:pPr>
            <w:r>
              <w:rPr>
                <w:b/>
                <w:bCs/>
              </w:rPr>
              <w:t xml:space="preserve">Mitigant 3 — interest-rate hedge covering 75% or more of floating-rate exposure to maturity</w:t>
            </w:r>
            <w:r>
              <w:t xml:space="preserve"> </w:t>
            </w:r>
            <w:r>
              <w:rPr>
                <w:rFonts w:ascii="Consolas" w:cs="Consolas" w:eastAsia="Consolas" w:hAnsi="Consolas"/>
                <w:color w:val="7030A0"/>
                <w:sz w:val="17"/>
                <w:szCs w:val="17"/>
              </w:rPr>
              <w:t xml:space="preserve">{mitigant_ir_hedge}</w:t>
            </w:r>
            <w:r>
              <w:t xml:space="preserve"> </w:t>
            </w:r>
            <w:r>
              <w:rPr>
                <w:i/>
                <w:iCs/>
              </w:rPr>
              <w:t xml:space="preserve">Select one (`YNNA_3`): `YES` · `NO` · `NOT_APPLICABLE_FIXED_RATE`.</w:t>
            </w:r>
            <w:r>
              <w:t xml:space="preserve"> *</w:t>
            </w:r>
            <w:r>
              <w:rPr>
                <w:b/>
                <w:bCs/>
              </w:rPr>
              <w:t xml:space="preserve">Resolved in v3.0.</w:t>
            </w:r>
            <w:r>
              <w:rPr>
                <w:i/>
                <w:iCs/>
              </w:rPr>
              <w:t xml:space="preserve"> </w:t>
            </w:r>
            <w:r>
              <w:rPr>
                <w:rFonts w:ascii="Consolas" w:cs="Consolas" w:eastAsia="Consolas" w:hAnsi="Consolas"/>
                <w:color w:val="7030A0"/>
                <w:sz w:val="17"/>
                <w:szCs w:val="17"/>
              </w:rPr>
              <w:t xml:space="preserve">NOT_APPLICABLE_FIXED_RATE</w:t>
            </w:r>
            <w:r>
              <w:t xml:space="preserve"> is </w:t>
            </w:r>
            <w:r>
              <w:rPr>
                <w:b/>
                <w:bCs/>
              </w:rPr>
              <w:t xml:space="preserve">scored as present</w:t>
            </w:r>
            <w:r>
              <w:t xml:space="preserve"> at CORE §7.2, exactly as §6.3 treats the equivalent answer at D.3. Use it only where the rated debt carries no floating-rate exposure at all, so there is nothing to hedge — a different assertion from </w:t>
            </w:r>
            <w:r>
              <w:rPr>
                <w:rFonts w:ascii="Consolas" w:cs="Consolas" w:eastAsia="Consolas" w:hAnsi="Consolas"/>
                <w:color w:val="7030A0"/>
                <w:sz w:val="17"/>
                <w:szCs w:val="17"/>
              </w:rPr>
              <w:t xml:space="preserve">NO</w:t>
            </w:r>
            <w:r>
              <w:t xml:space="preserve">, which says exposure exists and is unhedged. </w:t>
            </w:r>
            <w:r>
              <w:rPr>
                <w:b/>
                <w:bCs/>
              </w:rPr>
              <w:t xml:space="preserve">v2.0 of this template carried an open instruction to confirm the treatment against CORE §7.2 because §7.2 was silent. It is no longer silent.</w:t>
            </w:r>
            <w:r>
              <w:t xml:space="preserve">*</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NOT_APPLICABLE_FIXED_RATE</w:t>
            </w:r>
          </w:p>
        </w:tc>
      </w:tr>
      <w:tr>
        <w:tc>
          <w:tcPr>
            <w:tcW w:type="dxa" w:w="6120"/>
            <w:tcMar>
              <w:top w:type="dxa" w:w="90"/>
              <w:left w:type="dxa" w:w="110"/>
              <w:bottom w:type="dxa" w:w="90"/>
              <w:right w:type="dxa" w:w="110"/>
            </w:tcMar>
          </w:tcPr>
          <w:p>
            <w:pPr>
              <w:spacing w:after="0"/>
            </w:pPr>
            <w:r>
              <w:rPr>
                <w:b/>
                <w:bCs/>
              </w:rPr>
              <w:t xml:space="preserve">Mitigant 4 — residual contracted PPA tenor after final debt maturity of 5 years or more</w:t>
            </w:r>
            <w:r>
              <w:t xml:space="preserve"> </w:t>
            </w:r>
            <w:r>
              <w:rPr>
                <w:rFonts w:ascii="Consolas" w:cs="Consolas" w:eastAsia="Consolas" w:hAnsi="Consolas"/>
                <w:color w:val="7030A0"/>
                <w:sz w:val="17"/>
                <w:szCs w:val="17"/>
              </w:rPr>
              <w:t xml:space="preserve">{mitigant_residual_ppa}</w:t>
            </w:r>
            <w:r>
              <w:t xml:space="preserve"> </w:t>
            </w:r>
            <w:r>
              <w:rPr>
                <w:i/>
                <w:iCs/>
              </w:rPr>
              <w:t xml:space="preserve">`YES` · `NO`</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YES</w:t>
            </w:r>
          </w:p>
        </w:tc>
      </w:tr>
      <w:tr>
        <w:tc>
          <w:tcPr>
            <w:tcW w:type="dxa" w:w="6120"/>
            <w:tcMar>
              <w:top w:type="dxa" w:w="90"/>
              <w:left w:type="dxa" w:w="110"/>
              <w:bottom w:type="dxa" w:w="90"/>
              <w:right w:type="dxa" w:w="110"/>
            </w:tcMar>
          </w:tcPr>
          <w:p>
            <w:pPr>
              <w:spacing w:after="0"/>
            </w:pPr>
            <w:r>
              <w:rPr>
                <w:b/>
                <w:bCs/>
              </w:rPr>
              <w:t xml:space="preserve">Mitigant detail</w:t>
            </w:r>
            <w:r>
              <w:t xml:space="preserve"> </w:t>
            </w:r>
            <w:r>
              <w:rPr>
                <w:i/>
                <w:iCs/>
              </w:rPr>
              <w:t xml:space="preserve">Terms of any mitigant answered Yes: sweep % and trigger, facility amount and sanction date, hedge notional and tenor, residual PPA years. Audit trail.</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bl>
    <w:p>
      <w:pPr>
        <w:spacing w:after="140"/>
      </w:pPr>
      <w:r>
        <w:t xml:space="preserve"/>
      </w:r>
    </w:p>
    <w:p>
      <w:pPr>
        <w:pStyle w:val="Heading3"/>
        <w:spacing w:after="110" w:before="240"/>
      </w:pPr>
      <w:r>
        <w:rPr>
          <w:b/>
          <w:bCs/>
          <w:color w:val="4472C4"/>
          <w:sz w:val="21"/>
          <w:szCs w:val="21"/>
        </w:rPr>
        <w:t xml:space="preserve">N.8  Construction and Ramp-up Risk</w:t>
      </w:r>
    </w:p>
    <w:p>
      <w:pPr>
        <w:spacing w:after="120"/>
      </w:pPr>
      <w:r>
        <w:rPr>
          <w:i/>
          <w:iCs/>
          <w:sz w:val="20"/>
          <w:szCs w:val="20"/>
        </w:rPr>
        <w:t xml:space="preserve">Feeds CORE §7.3. v2.0 adds the ramp-up state, so a project under 12 months past COD is correctly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rPr>
          <w:tblHeader/>
        </w:trPr>
        <w:tc>
          <w:tcPr>
            <w:tcW w:type="dxa" w:w="6120"/>
            <w:shd w:fill="D9E2F3" w:color="auto" w:val="clear"/>
            <w:tcMar>
              <w:top w:type="dxa" w:w="80"/>
              <w:left w:type="dxa" w:w="110"/>
              <w:bottom w:type="dxa" w:w="80"/>
              <w:right w:type="dxa" w:w="110"/>
            </w:tcMar>
          </w:tcPr>
          <w:p>
            <w:pPr>
              <w:spacing w:after="0"/>
            </w:pPr>
            <w:r>
              <w:rPr>
                <w:b/>
                <w:bCs/>
              </w:rPr>
              <w:t xml:space="preserve">Field, guidance and Appendix B name</w:t>
            </w:r>
          </w:p>
        </w:tc>
        <w:tc>
          <w:tcPr>
            <w:tcW w:type="dxa" w:w="3240"/>
            <w:shd w:fill="D9E2F3" w:color="auto" w:val="clear"/>
            <w:tcMar>
              <w:top w:type="dxa" w:w="80"/>
              <w:left w:type="dxa" w:w="110"/>
              <w:bottom w:type="dxa" w:w="80"/>
              <w:right w:type="dxa" w:w="110"/>
            </w:tcMar>
          </w:tcPr>
          <w:p>
            <w:pPr>
              <w:spacing w:after="0"/>
            </w:pPr>
            <w:r>
              <w:rPr>
                <w:b/>
                <w:bCs/>
              </w:rPr>
              <w:t xml:space="preserve">Your entry</w:t>
            </w:r>
          </w:p>
        </w:tc>
      </w:tr>
      <w:tr>
        <w:tc>
          <w:tcPr>
            <w:tcW w:type="dxa" w:w="6120"/>
            <w:tcMar>
              <w:top w:type="dxa" w:w="90"/>
              <w:left w:type="dxa" w:w="110"/>
              <w:bottom w:type="dxa" w:w="90"/>
              <w:right w:type="dxa" w:w="110"/>
            </w:tcMar>
          </w:tcPr>
          <w:p>
            <w:pPr>
              <w:spacing w:after="0"/>
            </w:pPr>
            <w:r>
              <w:rPr>
                <w:b/>
                <w:bCs/>
              </w:rPr>
              <w:t xml:space="preserve">Project state</w:t>
            </w:r>
            <w:r>
              <w:t xml:space="preserve"> </w:t>
            </w:r>
            <w:r>
              <w:rPr>
                <w:rFonts w:ascii="Consolas" w:cs="Consolas" w:eastAsia="Consolas" w:hAnsi="Consolas"/>
                <w:color w:val="7030A0"/>
                <w:sz w:val="17"/>
                <w:szCs w:val="17"/>
              </w:rPr>
              <w:t xml:space="preserve">{project_state}</w:t>
            </w:r>
            <w:r>
              <w:t xml:space="preserve"> </w:t>
            </w:r>
            <w:r>
              <w:rPr>
                <w:i/>
                <w:iCs/>
              </w:rPr>
              <w:t xml:space="preserve">Select one (`PROJ_STATE_3`): `STATE_OPERATING_MATURE` Operating, 12 or more months since COD · `STATE_OPERATING_RAMPUP` Operating, under 12 months since COD (ramp-up) · `STATE_PRECOD` Under construction / pre-COD.</w:t>
            </w:r>
            <w:r>
              <w:t xml:space="preserve"> *</w:t>
            </w:r>
            <w:r>
              <w:rPr>
                <w:b/>
                <w:bCs/>
              </w:rPr>
              <w:t xml:space="preserve">Changed in v3.0:</w:t>
            </w:r>
            <w:r>
              <w:rPr>
                <w:i/>
                <w:iCs/>
              </w:rPr>
              <w:t xml:space="preserve"> </w:t>
            </w:r>
            <w:r>
              <w:t xml:space="preserve">the first option no longer requires "an established performance history". That phrase was defined nowhere, sat on a 7-point step, and left no state at all for a project operating twelve months or more without one. Row 1 now turns on the 12-month test alone; the quality of the generation record is graded at CORE §3.5, on evidence §A.7 actually collects.*</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STATE_OPERATING_MATURE</w:t>
            </w:r>
          </w:p>
        </w:tc>
      </w:tr>
      <w:tr>
        <w:tc>
          <w:tcPr>
            <w:tcW w:type="dxa" w:w="6120"/>
            <w:tcMar>
              <w:top w:type="dxa" w:w="90"/>
              <w:left w:type="dxa" w:w="110"/>
              <w:bottom w:type="dxa" w:w="90"/>
              <w:right w:type="dxa" w:w="110"/>
            </w:tcMar>
          </w:tcPr>
          <w:p>
            <w:pPr>
              <w:spacing w:after="0"/>
            </w:pPr>
            <w:r>
              <w:rPr>
                <w:b/>
                <w:bCs/>
              </w:rPr>
              <w:t xml:space="preserve">EPC contract structure</w:t>
            </w:r>
            <w:r>
              <w:t xml:space="preserve"> </w:t>
            </w:r>
            <w:r>
              <w:rPr>
                <w:rFonts w:ascii="Consolas" w:cs="Consolas" w:eastAsia="Consolas" w:hAnsi="Consolas"/>
                <w:color w:val="7030A0"/>
                <w:sz w:val="17"/>
                <w:szCs w:val="17"/>
              </w:rPr>
              <w:t xml:space="preserve">{epc_structure}</w:t>
            </w:r>
            <w:r>
              <w:t xml:space="preserve"> </w:t>
            </w:r>
            <w:r>
              <w:rPr>
                <w:i/>
                <w:iCs/>
              </w:rPr>
              <w:t xml:space="preserve">Select one (`EPC_3`): `EPC_TURNKEY` Single fixed-price turnkey · `EPC_MULTI` Multi-contract · `EPC_NOT_APPLICABLE` Operating. Required where the project state is `STATE_PRECOD`.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EPC_NOT_APPLICABLE</w:t>
            </w:r>
          </w:p>
        </w:tc>
      </w:tr>
      <w:tr>
        <w:tc>
          <w:tcPr>
            <w:tcW w:type="dxa" w:w="6120"/>
            <w:tcMar>
              <w:top w:type="dxa" w:w="90"/>
              <w:left w:type="dxa" w:w="110"/>
              <w:bottom w:type="dxa" w:w="90"/>
              <w:right w:type="dxa" w:w="110"/>
            </w:tcMar>
          </w:tcPr>
          <w:p>
            <w:pPr>
              <w:spacing w:after="0"/>
            </w:pPr>
            <w:r>
              <w:rPr>
                <w:b/>
                <w:bCs/>
              </w:rPr>
              <w:t xml:space="preserve">Contractor standing</w:t>
            </w:r>
            <w:r>
              <w:t xml:space="preserve"> </w:t>
            </w:r>
            <w:r>
              <w:rPr>
                <w:rFonts w:ascii="Consolas" w:cs="Consolas" w:eastAsia="Consolas" w:hAnsi="Consolas"/>
                <w:color w:val="7030A0"/>
                <w:sz w:val="17"/>
                <w:szCs w:val="17"/>
              </w:rPr>
              <w:t xml:space="preserve">{contractor_standing}</w:t>
            </w:r>
            <w:r>
              <w:t xml:space="preserve"> </w:t>
            </w:r>
            <w:r>
              <w:rPr>
                <w:i/>
                <w:iCs/>
              </w:rPr>
              <w:t xml:space="preserve">Select one (`CONTR_3`): `CONTR_ADEQUATE` · `CONTR_WEAK` · `CONTR_NOT_APPLICABLE` Operating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CONTR_NOT_APPLICABLE</w:t>
            </w:r>
          </w:p>
        </w:tc>
      </w:tr>
      <w:tr>
        <w:tc>
          <w:tcPr>
            <w:tcW w:type="dxa" w:w="6120"/>
            <w:tcMar>
              <w:top w:type="dxa" w:w="90"/>
              <w:left w:type="dxa" w:w="110"/>
              <w:bottom w:type="dxa" w:w="90"/>
              <w:right w:type="dxa" w:w="110"/>
            </w:tcMar>
          </w:tcPr>
          <w:p>
            <w:pPr>
              <w:spacing w:after="0"/>
            </w:pPr>
            <w:r>
              <w:rPr>
                <w:b/>
                <w:bCs/>
              </w:rPr>
              <w:t xml:space="preserve">Contingency as a share of project cost</w:t>
            </w:r>
            <w:r>
              <w:t xml:space="preserve"> </w:t>
            </w:r>
            <w:r>
              <w:rPr>
                <w:rFonts w:ascii="Consolas" w:cs="Consolas" w:eastAsia="Consolas" w:hAnsi="Consolas"/>
                <w:color w:val="7030A0"/>
                <w:sz w:val="17"/>
                <w:szCs w:val="17"/>
              </w:rPr>
              <w:t xml:space="preserve">{contingency_share}</w:t>
            </w:r>
            <w:r>
              <w:t xml:space="preserve"> *</w:t>
            </w:r>
            <w:r>
              <w:rPr>
                <w:b/>
                <w:bCs/>
              </w:rPr>
              <w:t xml:space="preserve">Decimal fraction</w:t>
            </w:r>
            <w:r>
              <w:rPr>
                <w:i/>
                <w:iCs/>
              </w:rPr>
              <w:t xml:space="preserve"> </w:t>
            </w:r>
            <w:r>
              <w:t xml:space="preserve">— 0.0500 for 5%. Leave blank and set the three enumerated fields to their </w:t>
            </w:r>
            <w:r>
              <w:rPr>
                <w:rFonts w:ascii="Consolas" w:cs="Consolas" w:eastAsia="Consolas" w:hAnsi="Consolas"/>
                <w:color w:val="7030A0"/>
                <w:sz w:val="17"/>
                <w:szCs w:val="17"/>
              </w:rPr>
              <w:t xml:space="preserve">_NOT_APPLICABLE</w:t>
            </w:r>
            <w:r>
              <w:t xml:space="preserve"> codes where the project is past COD.*</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
            </w:r>
          </w:p>
        </w:tc>
      </w:tr>
      <w:tr>
        <w:tc>
          <w:tcPr>
            <w:tcW w:type="dxa" w:w="6120"/>
            <w:tcMar>
              <w:top w:type="dxa" w:w="90"/>
              <w:left w:type="dxa" w:w="110"/>
              <w:bottom w:type="dxa" w:w="90"/>
              <w:right w:type="dxa" w:w="110"/>
            </w:tcMar>
          </w:tcPr>
          <w:p>
            <w:pPr>
              <w:spacing w:after="0"/>
            </w:pPr>
            <w:r>
              <w:rPr>
                <w:b/>
                <w:bCs/>
              </w:rPr>
              <w:t xml:space="preserve">Execution complexity</w:t>
            </w:r>
            <w:r>
              <w:t xml:space="preserve"> </w:t>
            </w:r>
            <w:r>
              <w:rPr>
                <w:rFonts w:ascii="Consolas" w:cs="Consolas" w:eastAsia="Consolas" w:hAnsi="Consolas"/>
                <w:color w:val="7030A0"/>
                <w:sz w:val="17"/>
                <w:szCs w:val="17"/>
              </w:rPr>
              <w:t xml:space="preserve">{execution_complexity}</w:t>
            </w:r>
            <w:r>
              <w:t xml:space="preserve"> </w:t>
            </w:r>
            <w:r>
              <w:rPr>
                <w:i/>
                <w:iCs/>
              </w:rPr>
              <w:t xml:space="preserve">Select one (`EXEC_3`): `EXEC_STANDARD` · `EXEC_ELEVATED` · `EXEC_NOT_APPLICABLE` Operating</w:t>
            </w:r>
          </w:p>
        </w:tc>
        <w:tc>
          <w:tcPr>
            <w:tcW w:type="dxa" w:w="3240"/>
            <w:shd w:fill="FFF2CC" w:color="auto" w:val="clear"/>
            <w:tcMar>
              <w:top w:type="dxa" w:w="90"/>
              <w:left w:type="dxa" w:w="110"/>
              <w:bottom w:type="dxa" w:w="90"/>
              <w:right w:type="dxa" w:w="110"/>
            </w:tcMar>
          </w:tcPr>
          <w:p>
            <w:pPr>
              <w:spacing w:after="0"/>
            </w:pPr>
            <w:r>
              <w:rPr>
                <w:b/>
                <w:bCs/>
                <w:color w:val="1F3864"/>
                <w:sz w:val="19"/>
                <w:szCs w:val="19"/>
              </w:rPr>
              <w:t xml:space="preserve">EXEC_NOT_APPLICABLE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How the four pre-COD fields combine (CORE §7.3).</w:t>
            </w:r>
            <w:r>
              <w:rPr>
                <w:sz w:val="18"/>
                <w:szCs w:val="18"/>
              </w:rPr>
              <w:t xml:space="preserve"> A pre-COD project takes </w:t>
            </w:r>
            <w:r>
              <w:rPr>
                <w:b/>
                <w:bCs/>
                <w:sz w:val="18"/>
                <w:szCs w:val="18"/>
              </w:rPr>
              <w:t xml:space="preserve">−1 notch</w:t>
            </w:r>
            <w:r>
              <w:rPr>
                <w:sz w:val="18"/>
                <w:szCs w:val="18"/>
              </w:rPr>
              <w:t xml:space="preserve"> only where </w:t>
            </w:r>
            <w:r>
              <w:rPr>
                <w:b/>
                <w:bCs/>
                <w:sz w:val="18"/>
                <w:szCs w:val="18"/>
              </w:rPr>
              <w:t xml:space="preserve">all four</w:t>
            </w:r>
            <w:r>
              <w:rPr>
                <w:sz w:val="18"/>
                <w:szCs w:val="18"/>
              </w:rPr>
              <w:t xml:space="preserve"> hold: </w:t>
            </w:r>
            <w:r>
              <w:rPr>
                <w:rFonts w:ascii="Consolas" w:cs="Consolas" w:eastAsia="Consolas" w:hAnsi="Consolas"/>
                <w:color w:val="7030A0"/>
                <w:sz w:val="17"/>
                <w:szCs w:val="17"/>
              </w:rPr>
              <w:t xml:space="preserve">EPC_TURNKEY</w:t>
            </w:r>
            <w:r>
              <w:rPr>
                <w:sz w:val="18"/>
                <w:szCs w:val="18"/>
              </w:rPr>
              <w:t xml:space="preserve">, </w:t>
            </w:r>
            <w:r>
              <w:rPr>
                <w:rFonts w:ascii="Consolas" w:cs="Consolas" w:eastAsia="Consolas" w:hAnsi="Consolas"/>
                <w:color w:val="7030A0"/>
                <w:sz w:val="17"/>
                <w:szCs w:val="17"/>
              </w:rPr>
              <w:t xml:space="preserve">CONTR_ADEQUATE</w:t>
            </w:r>
            <w:r>
              <w:rPr>
                <w:sz w:val="18"/>
                <w:szCs w:val="18"/>
              </w:rPr>
              <w:t xml:space="preserve">, </w:t>
            </w:r>
            <w:r>
              <w:rPr>
                <w:rFonts w:ascii="Consolas" w:cs="Consolas" w:eastAsia="Consolas" w:hAnsi="Consolas"/>
                <w:color w:val="7030A0"/>
                <w:sz w:val="17"/>
                <w:szCs w:val="17"/>
              </w:rPr>
              <w:t xml:space="preserve">contingency_share</w:t>
            </w:r>
            <w:r>
              <w:rPr>
                <w:sz w:val="18"/>
                <w:szCs w:val="18"/>
              </w:rPr>
              <w:t xml:space="preserve"> ≥ 0.0500, </w:t>
            </w:r>
            <w:r>
              <w:rPr>
                <w:b/>
                <w:bCs/>
                <w:sz w:val="18"/>
                <w:szCs w:val="18"/>
              </w:rPr>
              <w:t xml:space="preserve">and</w:t>
            </w:r>
            <w:r>
              <w:rPr>
                <w:sz w:val="18"/>
                <w:szCs w:val="18"/>
              </w:rPr>
              <w:t xml:space="preserve"> </w:t>
            </w:r>
            <w:r>
              <w:rPr>
                <w:rFonts w:ascii="Consolas" w:cs="Consolas" w:eastAsia="Consolas" w:hAnsi="Consolas"/>
                <w:color w:val="7030A0"/>
                <w:sz w:val="17"/>
                <w:szCs w:val="17"/>
              </w:rPr>
              <w:t xml:space="preserve">EXEC_STANDARD</w:t>
            </w:r>
            <w:r>
              <w:rPr>
                <w:sz w:val="18"/>
                <w:szCs w:val="18"/>
              </w:rPr>
              <w:t xml:space="preserve">. Otherwise it takes </w:t>
            </w:r>
            <w:r>
              <w:rPr>
                <w:b/>
                <w:bCs/>
                <w:sz w:val="18"/>
                <w:szCs w:val="18"/>
              </w:rPr>
              <w:t xml:space="preserve">−2 notches</w:t>
            </w:r>
            <w:r>
              <w:rPr>
                <w:sz w:val="18"/>
                <w:szCs w:val="18"/>
              </w:rPr>
              <w:t xml:space="preserve">. v2.0's guidance on this template omitted execution complexity from the qualifying set although CORE listed elevated complexity among the disqualifying conditions, so a project with a turnkey EPC, an adequate contractor, 6% contingency and elevated complexity matched both outcomes (QA finding m17). Adverse conditions do not stack: the worst case is −2 notches however many apply.</w:t>
            </w:r>
          </w:p>
        </w:tc>
      </w:tr>
      <w:tr>
        <w:tc>
          <w:tcPr>
            <w:tcW w:type="dxa" w:w="9360"/>
            <w:gridSpan w:val="1"/>
            <w:shd w:fill="FDE9E9" w:color="auto" w:val="clear"/>
            <w:tcMar>
              <w:top w:type="dxa" w:w="130"/>
              <w:left w:type="dxa" w:w="140"/>
              <w:bottom w:type="dxa" w:w="130"/>
              <w:right w:type="dxa" w:w="140"/>
            </w:tcMar>
          </w:tcPr>
          <w:p>
            <w:pPr>
              <w:spacing w:after="0"/>
            </w:pPr>
            <w:r>
              <w:rPr>
                <w:b/>
                <w:bCs/>
                <w:sz w:val="18"/>
                <w:szCs w:val="18"/>
              </w:rPr>
              <w:t xml:space="preserve">EPC and contingency detail</w:t>
            </w:r>
            <w:r>
              <w:rPr>
                <w:sz w:val="18"/>
                <w:szCs w:val="18"/>
              </w:rPr>
              <w:t xml:space="preserve"> </w:t>
            </w:r>
            <w:r>
              <w:rPr>
                <w:i/>
                <w:iCs/>
                <w:sz w:val="18"/>
                <w:szCs w:val="18"/>
              </w:rPr>
              <w:t xml:space="preserve">Contract structure, contractor identity and relevant experience, liquidated-damages regime, contingency amount and how held. Audit trail; not scored.</w:t>
            </w:r>
          </w:p>
        </w:tc>
      </w:tr>
    </w:tbl>
    <w:p>
      <w:pPr>
        <w:spacing w:after="140"/>
      </w:pPr>
      <w:r>
        <w:t xml:space="preserve"/>
      </w:r>
    </w:p>
    <w:p>
      <w:pPr>
        <w:pStyle w:val="Heading1"/>
        <w:spacing w:after="160" w:before="320"/>
      </w:pPr>
      <w:r>
        <w:rPr>
          <w:b/>
          <w:bCs/>
          <w:color w:val="1F3864"/>
          <w:sz w:val="30"/>
          <w:szCs w:val="30"/>
        </w:rPr>
        <w:t xml:space="preserve">Section Z — Change Log</w:t>
      </w:r>
    </w:p>
    <w:p>
      <w:pPr>
        <w:pStyle w:val="Heading3"/>
        <w:spacing w:after="110" w:before="240"/>
      </w:pPr>
      <w:r>
        <w:rPr>
          <w:b/>
          <w:bCs/>
          <w:color w:val="4472C4"/>
          <w:sz w:val="21"/>
          <w:szCs w:val="21"/>
        </w:rPr>
        <w:t xml:space="preserve">Z.1  v2.0 to v3.0 — pre-build QA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Ref</w:t>
            </w:r>
          </w:p>
        </w:tc>
        <w:tc>
          <w:tcPr>
            <w:tcW w:type="dxa" w:w="3240"/>
            <w:tcMar>
              <w:top w:type="dxa" w:w="80"/>
              <w:left w:type="dxa" w:w="110"/>
              <w:bottom w:type="dxa" w:w="80"/>
              <w:right w:type="dxa" w:w="110"/>
            </w:tcMar>
          </w:tcPr>
          <w:p>
            <w:pPr>
              <w:spacing w:after="0"/>
            </w:pPr>
            <w:r>
              <w:rPr>
                <w:b/>
                <w:bCs/>
              </w:rPr>
              <w:t xml:space="preserve">Change</w:t>
            </w:r>
          </w:p>
        </w:tc>
      </w:tr>
      <w:tr>
        <w:tc>
          <w:tcPr>
            <w:tcW w:type="dxa" w:w="6120"/>
            <w:shd w:fill="F2F2F2" w:color="auto" w:val="clear"/>
            <w:tcMar>
              <w:top w:type="dxa" w:w="80"/>
              <w:left w:type="dxa" w:w="110"/>
              <w:bottom w:type="dxa" w:w="80"/>
              <w:right w:type="dxa" w:w="110"/>
            </w:tcMar>
          </w:tcPr>
          <w:p>
            <w:pPr>
              <w:spacing w:after="0"/>
            </w:pPr>
            <w:r>
              <w:rPr>
                <w:b/>
                <w:bCs/>
              </w:rPr>
              <w:t xml:space="preserve">B7</w:t>
            </w:r>
          </w:p>
        </w:tc>
        <w:tc>
          <w:tcPr>
            <w:tcW w:type="dxa" w:w="3240"/>
            <w:tcMar>
              <w:top w:type="dxa" w:w="80"/>
              <w:left w:type="dxa" w:w="110"/>
              <w:bottom w:type="dxa" w:w="80"/>
              <w:right w:type="dxa" w:w="110"/>
            </w:tcMar>
          </w:tcPr>
          <w:p>
            <w:pPr>
              <w:spacing w:after="0"/>
            </w:pPr>
            <w:r>
              <w:t xml:space="preserve">Every percentage field restated as a </w:t>
            </w:r>
            <w:r>
              <w:rPr>
                <w:b/>
                <w:bCs/>
              </w:rPr>
              <w:t xml:space="preserve">decimal fraction</w:t>
            </w:r>
            <w:r>
              <w:t xml:space="preserve"> with a worked example. v2.0 asked for percentages out of 100 to two decimal places while CORE §9.6 and Template 2 used fractions, and nothing stated the conversion — so a contracted revenue share entered as 97 rather than 0.9700 scored 0 instead of 8 and computed merchant exposure at 99.03%.</w:t>
            </w:r>
          </w:p>
        </w:tc>
      </w:tr>
      <w:tr>
        <w:tc>
          <w:tcPr>
            <w:tcW w:type="dxa" w:w="6120"/>
            <w:shd w:fill="F2F2F2" w:color="auto" w:val="clear"/>
            <w:tcMar>
              <w:top w:type="dxa" w:w="80"/>
              <w:left w:type="dxa" w:w="110"/>
              <w:bottom w:type="dxa" w:w="80"/>
              <w:right w:type="dxa" w:w="110"/>
            </w:tcMar>
          </w:tcPr>
          <w:p>
            <w:pPr>
              <w:spacing w:after="0"/>
            </w:pPr>
            <w:r>
              <w:rPr>
                <w:b/>
                <w:bCs/>
              </w:rPr>
              <w:t xml:space="preserve">M10</w:t>
            </w:r>
          </w:p>
        </w:tc>
        <w:tc>
          <w:tcPr>
            <w:tcW w:type="dxa" w:w="3240"/>
            <w:tcMar>
              <w:top w:type="dxa" w:w="80"/>
              <w:left w:type="dxa" w:w="110"/>
              <w:bottom w:type="dxa" w:w="80"/>
              <w:right w:type="dxa" w:w="110"/>
            </w:tcMar>
          </w:tcPr>
          <w:p>
            <w:pPr>
              <w:spacing w:after="0"/>
            </w:pPr>
            <w:r>
              <w:t xml:space="preserve">Every enumerated option now carries a </w:t>
            </w:r>
            <w:r>
              <w:rPr>
                <w:b/>
                <w:bCs/>
              </w:rPr>
              <w:t xml:space="preserve">stable code</w:t>
            </w:r>
            <w:r>
              <w:t xml:space="preserve"> from CORE Appendix A. The engine matches on the code, never on the display prose, so wording can be improved without breaking the schema. v2.0's option strings differed from CORE's wording for the same options, and the Execution Manual made this template authoritative for the schema while CORE claimed to be the single source of truth.</w:t>
            </w:r>
          </w:p>
        </w:tc>
      </w:tr>
      <w:tr>
        <w:tc>
          <w:tcPr>
            <w:tcW w:type="dxa" w:w="6120"/>
            <w:shd w:fill="F2F2F2" w:color="auto" w:val="clear"/>
            <w:tcMar>
              <w:top w:type="dxa" w:w="80"/>
              <w:left w:type="dxa" w:w="110"/>
              <w:bottom w:type="dxa" w:w="80"/>
              <w:right w:type="dxa" w:w="110"/>
            </w:tcMar>
          </w:tcPr>
          <w:p>
            <w:pPr>
              <w:spacing w:after="0"/>
            </w:pPr>
            <w:r>
              <w:rPr>
                <w:b/>
                <w:bCs/>
              </w:rPr>
              <w:t xml:space="preserve">M11</w:t>
            </w:r>
          </w:p>
        </w:tc>
        <w:tc>
          <w:tcPr>
            <w:tcW w:type="dxa" w:w="3240"/>
            <w:tcMar>
              <w:top w:type="dxa" w:w="80"/>
              <w:left w:type="dxa" w:w="110"/>
              <w:bottom w:type="dxa" w:w="80"/>
              <w:right w:type="dxa" w:w="110"/>
            </w:tcMar>
          </w:tcPr>
          <w:p>
            <w:pPr>
              <w:spacing w:after="0"/>
            </w:pPr>
            <w:r>
              <w:t xml:space="preserve">Two fields added that CORE's tier tables required and v2.0 collected nowhere: </w:t>
            </w:r>
            <w:r>
              <w:rPr>
                <w:rFonts w:ascii="Consolas" w:cs="Consolas" w:eastAsia="Consolas" w:hAnsi="Consolas"/>
                <w:color w:val="7030A0"/>
                <w:sz w:val="17"/>
                <w:szCs w:val="17"/>
              </w:rPr>
              <w:t xml:space="preserve">contracted_share_75pc_tenor</w:t>
            </w:r>
            <w:r>
              <w:t xml:space="preserve">, needed for the second limb of the 6-point row at CORE §3.2.1; and </w:t>
            </w:r>
            <w:r>
              <w:rPr>
                <w:rFonts w:ascii="Consolas" w:cs="Consolas" w:eastAsia="Consolas" w:hAnsi="Consolas"/>
                <w:color w:val="7030A0"/>
                <w:sz w:val="17"/>
                <w:szCs w:val="17"/>
              </w:rPr>
              <w:t xml:space="preserve">sponsor_support_this_project</w:t>
            </w:r>
            <w:r>
              <w:t xml:space="preserve">, needed for row 3 of the sponsor limb at CORE §3.6.</w:t>
            </w:r>
          </w:p>
        </w:tc>
      </w:tr>
      <w:tr>
        <w:tc>
          <w:tcPr>
            <w:tcW w:type="dxa" w:w="6120"/>
            <w:shd w:fill="F2F2F2" w:color="auto" w:val="clear"/>
            <w:tcMar>
              <w:top w:type="dxa" w:w="80"/>
              <w:left w:type="dxa" w:w="110"/>
              <w:bottom w:type="dxa" w:w="80"/>
              <w:right w:type="dxa" w:w="110"/>
            </w:tcMar>
          </w:tcPr>
          <w:p>
            <w:pPr>
              <w:spacing w:after="0"/>
            </w:pPr>
            <w:r>
              <w:rPr>
                <w:b/>
                <w:bCs/>
              </w:rPr>
              <w:t xml:space="preserve">M12</w:t>
            </w:r>
          </w:p>
        </w:tc>
        <w:tc>
          <w:tcPr>
            <w:tcW w:type="dxa" w:w="3240"/>
            <w:tcMar>
              <w:top w:type="dxa" w:w="80"/>
              <w:left w:type="dxa" w:w="110"/>
              <w:bottom w:type="dxa" w:w="80"/>
              <w:right w:type="dxa" w:w="110"/>
            </w:tcMar>
          </w:tcPr>
          <w:p>
            <w:pPr>
              <w:spacing w:after="0"/>
            </w:pPr>
            <w:r>
              <w:t xml:space="preserve">The actual-generation evidence field split into </w:t>
            </w:r>
            <w:r>
              <w:rPr>
                <w:b/>
                <w:bCs/>
              </w:rPr>
              <w:t xml:space="preserve">four typed numeric cells</w:t>
            </w:r>
            <w:r>
              <w:t xml:space="preserve"> — three annual figures plus a whole-period figure. v2.0 asked for three years' figures "lowest first" in one free-text cell, which cannot be typed, validated or extracted, while CORE §3.5 tests each year separately.</w:t>
            </w:r>
          </w:p>
        </w:tc>
      </w:tr>
      <w:tr>
        <w:tc>
          <w:tcPr>
            <w:tcW w:type="dxa" w:w="6120"/>
            <w:shd w:fill="F2F2F2" w:color="auto" w:val="clear"/>
            <w:tcMar>
              <w:top w:type="dxa" w:w="80"/>
              <w:left w:type="dxa" w:w="110"/>
              <w:bottom w:type="dxa" w:w="80"/>
              <w:right w:type="dxa" w:w="110"/>
            </w:tcMar>
          </w:tcPr>
          <w:p>
            <w:pPr>
              <w:spacing w:after="0"/>
            </w:pPr>
            <w:r>
              <w:rPr>
                <w:b/>
                <w:bCs/>
              </w:rPr>
              <w:t xml:space="preserve">M6</w:t>
            </w:r>
          </w:p>
        </w:tc>
        <w:tc>
          <w:tcPr>
            <w:tcW w:type="dxa" w:w="3240"/>
            <w:tcMar>
              <w:top w:type="dxa" w:w="80"/>
              <w:left w:type="dxa" w:w="110"/>
              <w:bottom w:type="dxa" w:w="80"/>
              <w:right w:type="dxa" w:w="110"/>
            </w:tcMar>
          </w:tcPr>
          <w:p>
            <w:pPr>
              <w:spacing w:after="0"/>
            </w:pPr>
            <w:r>
              <w:t xml:space="preserve">Mitigant 3's </w:t>
            </w:r>
            <w:r>
              <w:rPr>
                <w:rFonts w:ascii="Consolas" w:cs="Consolas" w:eastAsia="Consolas" w:hAnsi="Consolas"/>
                <w:color w:val="7030A0"/>
                <w:sz w:val="17"/>
                <w:szCs w:val="17"/>
              </w:rPr>
              <w:t xml:space="preserve">NOT_APPLICABLE_FIXED_RATE</w:t>
            </w:r>
            <w:r>
              <w:t xml:space="preserve"> treatment resolved. v2.0 shipped an </w:t>
            </w:r>
            <w:r>
              <w:rPr>
                <w:b/>
                <w:bCs/>
              </w:rPr>
              <w:t xml:space="preserve">open instruction to the user to confirm the treatment against CORE §7.2 before relying on it</w:t>
            </w:r>
            <w:r>
              <w:t xml:space="preserve">, because §7.2 was silent. CORE §7.2 v3.0 states it: scored as present, mirroring §6.3.</w:t>
            </w:r>
          </w:p>
        </w:tc>
      </w:tr>
      <w:tr>
        <w:tc>
          <w:tcPr>
            <w:tcW w:type="dxa" w:w="6120"/>
            <w:shd w:fill="F2F2F2" w:color="auto" w:val="clear"/>
            <w:tcMar>
              <w:top w:type="dxa" w:w="80"/>
              <w:left w:type="dxa" w:w="110"/>
              <w:bottom w:type="dxa" w:w="80"/>
              <w:right w:type="dxa" w:w="110"/>
            </w:tcMar>
          </w:tcPr>
          <w:p>
            <w:pPr>
              <w:spacing w:after="0"/>
            </w:pPr>
            <w:r>
              <w:rPr>
                <w:b/>
                <w:bCs/>
              </w:rPr>
              <w:t xml:space="preserve">M5</w:t>
            </w:r>
          </w:p>
        </w:tc>
        <w:tc>
          <w:tcPr>
            <w:tcW w:type="dxa" w:w="3240"/>
            <w:tcMar>
              <w:top w:type="dxa" w:w="80"/>
              <w:left w:type="dxa" w:w="110"/>
              <w:bottom w:type="dxa" w:w="80"/>
              <w:right w:type="dxa" w:w="110"/>
            </w:tcMar>
          </w:tcPr>
          <w:p>
            <w:pPr>
              <w:spacing w:after="0"/>
            </w:pPr>
            <w:r>
              <w:t xml:space="preserve">"With an established performance history" removed from the first project-state option. The phrase was defined nowhere, sat on a 7-point step, and left no state for a project operating twelve months or more without one.</w:t>
            </w:r>
          </w:p>
        </w:tc>
      </w:tr>
      <w:tr>
        <w:tc>
          <w:tcPr>
            <w:tcW w:type="dxa" w:w="6120"/>
            <w:shd w:fill="F2F2F2" w:color="auto" w:val="clear"/>
            <w:tcMar>
              <w:top w:type="dxa" w:w="80"/>
              <w:left w:type="dxa" w:w="110"/>
              <w:bottom w:type="dxa" w:w="80"/>
              <w:right w:type="dxa" w:w="110"/>
            </w:tcMar>
          </w:tcPr>
          <w:p>
            <w:pPr>
              <w:spacing w:after="0"/>
            </w:pPr>
            <w:r>
              <w:rPr>
                <w:b/>
                <w:bCs/>
              </w:rPr>
              <w:t xml:space="preserve">M7</w:t>
            </w:r>
          </w:p>
        </w:tc>
        <w:tc>
          <w:tcPr>
            <w:tcW w:type="dxa" w:w="3240"/>
            <w:tcMar>
              <w:top w:type="dxa" w:w="80"/>
              <w:left w:type="dxa" w:w="110"/>
              <w:bottom w:type="dxa" w:w="80"/>
              <w:right w:type="dxa" w:w="110"/>
            </w:tcMar>
          </w:tcPr>
          <w:p>
            <w:pPr>
              <w:spacing w:after="0"/>
            </w:pPr>
            <w:r>
              <w:t xml:space="preserve">The N.6 aggregated line is stated to be </w:t>
            </w:r>
            <w:r>
              <w:rPr>
                <w:b/>
                <w:bCs/>
              </w:rPr>
              <w:t xml:space="preserve">a single counterparty</w:t>
            </w:r>
            <w:r>
              <w:t xml:space="preserve"> for the dominance test and the blend, and the basis field is made mandatory where the count is above zero. Because four individual offtakers each below 25% cannot sum to 100%, N.6 is the only route by which CORE's blended-tier fallback is reachable.</w:t>
            </w:r>
          </w:p>
        </w:tc>
      </w:tr>
      <w:tr>
        <w:tc>
          <w:tcPr>
            <w:tcW w:type="dxa" w:w="6120"/>
            <w:shd w:fill="F2F2F2" w:color="auto" w:val="clear"/>
            <w:tcMar>
              <w:top w:type="dxa" w:w="80"/>
              <w:left w:type="dxa" w:w="110"/>
              <w:bottom w:type="dxa" w:w="80"/>
              <w:right w:type="dxa" w:w="110"/>
            </w:tcMar>
          </w:tcPr>
          <w:p>
            <w:pPr>
              <w:spacing w:after="0"/>
            </w:pPr>
            <w:r>
              <w:rPr>
                <w:b/>
                <w:bCs/>
              </w:rPr>
              <w:t xml:space="preserve">M8</w:t>
            </w:r>
          </w:p>
        </w:tc>
        <w:tc>
          <w:tcPr>
            <w:tcW w:type="dxa" w:w="3240"/>
            <w:tcMar>
              <w:top w:type="dxa" w:w="80"/>
              <w:left w:type="dxa" w:w="110"/>
              <w:bottom w:type="dxa" w:w="80"/>
              <w:right w:type="dxa" w:w="110"/>
            </w:tcMar>
          </w:tcPr>
          <w:p>
            <w:pPr>
              <w:spacing w:after="0"/>
            </w:pPr>
            <w:r>
              <w:rPr>
                <w:rFonts w:ascii="Consolas" w:cs="Consolas" w:eastAsia="Consolas" w:hAnsi="Consolas"/>
                <w:color w:val="7030A0"/>
                <w:sz w:val="17"/>
                <w:szCs w:val="17"/>
              </w:rPr>
              <w:t xml:space="preserve">technology_type</w:t>
            </w:r>
            <w:r>
              <w:t xml:space="preserve"> and </w:t>
            </w:r>
            <w:r>
              <w:rPr>
                <w:rFonts w:ascii="Consolas" w:cs="Consolas" w:eastAsia="Consolas" w:hAnsi="Consolas"/>
                <w:color w:val="7030A0"/>
                <w:sz w:val="17"/>
                <w:szCs w:val="17"/>
              </w:rPr>
              <w:t xml:space="preserve">calculation_date</w:t>
            </w:r>
            <w:r>
              <w:t xml:space="preserve"> marked as </w:t>
            </w:r>
            <w:r>
              <w:rPr>
                <w:b/>
                <w:bCs/>
              </w:rPr>
              <w:t xml:space="preserve">sourced from this template</w:t>
            </w:r>
            <w:r>
              <w:t xml:space="preserve">, with Template 2 displaying them read-only and CORE V13 blocking a mismatch. Merchant exposure is derived by the engine from the contracted revenue share and is no longer entered anywhere.</w:t>
            </w:r>
          </w:p>
        </w:tc>
      </w:tr>
      <w:tr>
        <w:tc>
          <w:tcPr>
            <w:tcW w:type="dxa" w:w="6120"/>
            <w:shd w:fill="F2F2F2" w:color="auto" w:val="clear"/>
            <w:tcMar>
              <w:top w:type="dxa" w:w="80"/>
              <w:left w:type="dxa" w:w="110"/>
              <w:bottom w:type="dxa" w:w="80"/>
              <w:right w:type="dxa" w:w="110"/>
            </w:tcMar>
          </w:tcPr>
          <w:p>
            <w:pPr>
              <w:spacing w:after="0"/>
            </w:pPr>
            <w:r>
              <w:rPr>
                <w:b/>
                <w:bCs/>
              </w:rPr>
              <w:t xml:space="preserve">m19</w:t>
            </w:r>
          </w:p>
        </w:tc>
        <w:tc>
          <w:tcPr>
            <w:tcW w:type="dxa" w:w="3240"/>
            <w:tcMar>
              <w:top w:type="dxa" w:w="80"/>
              <w:left w:type="dxa" w:w="110"/>
              <w:bottom w:type="dxa" w:w="80"/>
              <w:right w:type="dxa" w:w="110"/>
            </w:tcMar>
          </w:tcPr>
          <w:p>
            <w:pPr>
              <w:spacing w:after="0"/>
            </w:pPr>
            <w:r>
              <w:rPr>
                <w:rFonts w:ascii="Consolas" w:cs="Consolas" w:eastAsia="Consolas" w:hAnsi="Consolas"/>
                <w:color w:val="7030A0"/>
                <w:sz w:val="17"/>
                <w:szCs w:val="17"/>
              </w:rPr>
              <w:t xml:space="preserve">calculation_date</w:t>
            </w:r>
            <w:r>
              <w:t xml:space="preserve"> marked </w:t>
            </w:r>
            <w:r>
              <w:rPr>
                <w:b/>
                <w:bCs/>
              </w:rPr>
              <w:t xml:space="preserve">[CRITICAL]</w:t>
            </w:r>
            <w:r>
              <w:t xml:space="preserve">. V11 is a blocking rule that cannot run without it.</w:t>
            </w:r>
          </w:p>
        </w:tc>
      </w:tr>
      <w:tr>
        <w:tc>
          <w:tcPr>
            <w:tcW w:type="dxa" w:w="6120"/>
            <w:shd w:fill="F2F2F2" w:color="auto" w:val="clear"/>
            <w:tcMar>
              <w:top w:type="dxa" w:w="80"/>
              <w:left w:type="dxa" w:w="110"/>
              <w:bottom w:type="dxa" w:w="80"/>
              <w:right w:type="dxa" w:w="110"/>
            </w:tcMar>
          </w:tcPr>
          <w:p>
            <w:pPr>
              <w:spacing w:after="0"/>
            </w:pPr>
            <w:r>
              <w:rPr>
                <w:b/>
                <w:bCs/>
              </w:rPr>
              <w:t xml:space="preserve">m15</w:t>
            </w:r>
          </w:p>
        </w:tc>
        <w:tc>
          <w:tcPr>
            <w:tcW w:type="dxa" w:w="3240"/>
            <w:tcMar>
              <w:top w:type="dxa" w:w="80"/>
              <w:left w:type="dxa" w:w="110"/>
              <w:bottom w:type="dxa" w:w="80"/>
              <w:right w:type="dxa" w:w="110"/>
            </w:tcMar>
          </w:tcPr>
          <w:p>
            <w:pPr>
              <w:spacing w:after="0"/>
            </w:pPr>
            <w:r>
              <w:t xml:space="preserve">The self-certification "shares sum to 100% ± 1pp — Yes/No" field </w:t>
            </w:r>
            <w:r>
              <w:rPr>
                <w:b/>
                <w:bCs/>
              </w:rPr>
              <w:t xml:space="preserve">deleted</w:t>
            </w:r>
            <w:r>
              <w:t xml:space="preserve">. It asked the user to assert what the engine computes, with no rule for a disagreement.</w:t>
            </w:r>
          </w:p>
        </w:tc>
      </w:tr>
      <w:tr>
        <w:tc>
          <w:tcPr>
            <w:tcW w:type="dxa" w:w="6120"/>
            <w:shd w:fill="F2F2F2" w:color="auto" w:val="clear"/>
            <w:tcMar>
              <w:top w:type="dxa" w:w="80"/>
              <w:left w:type="dxa" w:w="110"/>
              <w:bottom w:type="dxa" w:w="80"/>
              <w:right w:type="dxa" w:w="110"/>
            </w:tcMar>
          </w:tcPr>
          <w:p>
            <w:pPr>
              <w:spacing w:after="0"/>
            </w:pPr>
            <w:r>
              <w:rPr>
                <w:b/>
                <w:bCs/>
              </w:rPr>
              <w:t xml:space="preserve">m3</w:t>
            </w:r>
          </w:p>
        </w:tc>
        <w:tc>
          <w:tcPr>
            <w:tcW w:type="dxa" w:w="3240"/>
            <w:tcMar>
              <w:top w:type="dxa" w:w="80"/>
              <w:left w:type="dxa" w:w="110"/>
              <w:bottom w:type="dxa" w:w="80"/>
              <w:right w:type="dxa" w:w="110"/>
            </w:tcMar>
          </w:tcPr>
          <w:p>
            <w:pPr>
              <w:spacing w:after="0"/>
            </w:pPr>
            <w:r>
              <w:t xml:space="preserve">C&amp;I rating scale corrected to the SEBI-standardised scale. v2.0's "CCC+ and below" is international notation, not an Indian national-scale symbol, and left C+ and C− enumerated nowhere.</w:t>
            </w:r>
          </w:p>
        </w:tc>
      </w:tr>
      <w:tr>
        <w:tc>
          <w:tcPr>
            <w:tcW w:type="dxa" w:w="6120"/>
            <w:shd w:fill="F2F2F2" w:color="auto" w:val="clear"/>
            <w:tcMar>
              <w:top w:type="dxa" w:w="80"/>
              <w:left w:type="dxa" w:w="110"/>
              <w:bottom w:type="dxa" w:w="80"/>
              <w:right w:type="dxa" w:w="110"/>
            </w:tcMar>
          </w:tcPr>
          <w:p>
            <w:pPr>
              <w:spacing w:after="0"/>
            </w:pPr>
            <w:r>
              <w:rPr>
                <w:b/>
                <w:bCs/>
              </w:rPr>
              <w:t xml:space="preserve">m17</w:t>
            </w:r>
          </w:p>
        </w:tc>
        <w:tc>
          <w:tcPr>
            <w:tcW w:type="dxa" w:w="3240"/>
            <w:tcMar>
              <w:top w:type="dxa" w:w="80"/>
              <w:left w:type="dxa" w:w="110"/>
              <w:bottom w:type="dxa" w:w="80"/>
              <w:right w:type="dxa" w:w="110"/>
            </w:tcMar>
          </w:tcPr>
          <w:p>
            <w:pPr>
              <w:spacing w:after="0"/>
            </w:pPr>
            <w:r>
              <w:t xml:space="preserve">Execution complexity added to the pre-COD −1-notch qualifying conditions, matching CORE §7.3.</w:t>
            </w:r>
          </w:p>
        </w:tc>
      </w:tr>
      <w:tr>
        <w:tc>
          <w:tcPr>
            <w:tcW w:type="dxa" w:w="6120"/>
            <w:shd w:fill="F2F2F2" w:color="auto" w:val="clear"/>
            <w:tcMar>
              <w:top w:type="dxa" w:w="80"/>
              <w:left w:type="dxa" w:w="110"/>
              <w:bottom w:type="dxa" w:w="80"/>
              <w:right w:type="dxa" w:w="110"/>
            </w:tcMar>
          </w:tcPr>
          <w:p>
            <w:pPr>
              <w:spacing w:after="0"/>
            </w:pPr>
            <w:r>
              <w:rPr>
                <w:b/>
                <w:bCs/>
              </w:rPr>
              <w:t xml:space="preserve">m10</w:t>
            </w:r>
          </w:p>
        </w:tc>
        <w:tc>
          <w:tcPr>
            <w:tcW w:type="dxa" w:w="3240"/>
            <w:tcMar>
              <w:top w:type="dxa" w:w="80"/>
              <w:left w:type="dxa" w:w="110"/>
              <w:bottom w:type="dxa" w:w="80"/>
              <w:right w:type="dxa" w:w="110"/>
            </w:tcMar>
          </w:tcPr>
          <w:p>
            <w:pPr>
              <w:spacing w:after="0"/>
            </w:pPr>
            <w:r>
              <w:t xml:space="preserve">Every field labelled with its </w:t>
            </w:r>
            <w:r>
              <w:rPr>
                <w:b/>
                <w:bCs/>
              </w:rPr>
              <w:t xml:space="preserve">CORE Appendix B field name</w:t>
            </w:r>
            <w:r>
              <w:t xml:space="preserve"> in braces, so the template, the schema, the extraction prompt and the test fixtures share one vocabulary. </w:t>
            </w:r>
            <w:r>
              <w:rPr>
                <w:rFonts w:ascii="Consolas" w:cs="Consolas" w:eastAsia="Consolas" w:hAnsi="Consolas"/>
                <w:color w:val="7030A0"/>
                <w:sz w:val="17"/>
                <w:szCs w:val="17"/>
              </w:rPr>
              <w:t xml:space="preserve">Not Applicable</w:t>
            </w:r>
            <w:r>
              <w:t xml:space="preserve"> free text replaced by explicit codes or by "leave blank", so a deliberate answer is never confusable with a null.</w:t>
            </w:r>
          </w:p>
        </w:tc>
      </w:tr>
      <w:tr>
        <w:tc>
          <w:tcPr>
            <w:tcW w:type="dxa" w:w="6120"/>
            <w:shd w:fill="F2F2F2" w:color="auto" w:val="clear"/>
            <w:tcMar>
              <w:top w:type="dxa" w:w="80"/>
              <w:left w:type="dxa" w:w="110"/>
              <w:bottom w:type="dxa" w:w="80"/>
              <w:right w:type="dxa" w:w="110"/>
            </w:tcMar>
          </w:tcPr>
          <w:p>
            <w:pPr>
              <w:spacing w:after="0"/>
            </w:pPr>
            <w:r>
              <w:rPr>
                <w:b/>
                <w:bCs/>
              </w:rPr>
              <w:t xml:space="preserve">m6</w:t>
            </w:r>
          </w:p>
        </w:tc>
        <w:tc>
          <w:tcPr>
            <w:tcW w:type="dxa" w:w="3240"/>
            <w:tcMar>
              <w:top w:type="dxa" w:w="80"/>
              <w:left w:type="dxa" w:w="110"/>
              <w:bottom w:type="dxa" w:w="80"/>
              <w:right w:type="dxa" w:w="110"/>
            </w:tcMar>
          </w:tcPr>
          <w:p>
            <w:pPr>
              <w:spacing w:after="0"/>
            </w:pPr>
            <w:r>
              <w:t xml:space="preserve">Points shown against each ALMM code, and the two technology fields cross-referenced to CORE §3.3.1's new nine-row derivation table.</w:t>
            </w:r>
          </w:p>
        </w:tc>
      </w:tr>
    </w:tbl>
    <w:p>
      <w:pPr>
        <w:spacing w:after="140"/>
      </w:pPr>
      <w:r>
        <w:t xml:space="preserve"/>
      </w:r>
    </w:p>
    <w:p>
      <w:pPr>
        <w:pStyle w:val="Heading3"/>
        <w:spacing w:after="110" w:before="240"/>
      </w:pPr>
      <w:r>
        <w:rPr>
          <w:b/>
          <w:bCs/>
          <w:color w:val="4472C4"/>
          <w:sz w:val="21"/>
          <w:szCs w:val="21"/>
        </w:rPr>
        <w:t xml:space="preserve">Z.2  v1.0 to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shd w:fill="F2F2F2" w:color="auto" w:val="clear"/>
            <w:tcMar>
              <w:top w:type="dxa" w:w="80"/>
              <w:left w:type="dxa" w:w="110"/>
              <w:bottom w:type="dxa" w:w="80"/>
              <w:right w:type="dxa" w:w="110"/>
            </w:tcMar>
          </w:tcPr>
          <w:p>
            <w:pPr>
              <w:spacing w:after="0"/>
            </w:pPr>
            <w:r>
              <w:rPr>
                <w:b/>
                <w:bCs/>
              </w:rPr>
              <w:t xml:space="preserve">Ref</w:t>
            </w:r>
          </w:p>
        </w:tc>
        <w:tc>
          <w:tcPr>
            <w:tcW w:type="dxa" w:w="3240"/>
            <w:tcMar>
              <w:top w:type="dxa" w:w="80"/>
              <w:left w:type="dxa" w:w="110"/>
              <w:bottom w:type="dxa" w:w="80"/>
              <w:right w:type="dxa" w:w="110"/>
            </w:tcMar>
          </w:tcPr>
          <w:p>
            <w:pPr>
              <w:spacing w:after="0"/>
            </w:pPr>
            <w:r>
              <w:rPr>
                <w:b/>
                <w:bCs/>
              </w:rPr>
              <w:t xml:space="preserve">Change</w:t>
            </w:r>
          </w:p>
        </w:tc>
      </w:tr>
      <w:tr>
        <w:tc>
          <w:tcPr>
            <w:tcW w:type="dxa" w:w="6120"/>
            <w:shd w:fill="F2F2F2" w:color="auto" w:val="clear"/>
            <w:tcMar>
              <w:top w:type="dxa" w:w="80"/>
              <w:left w:type="dxa" w:w="110"/>
              <w:bottom w:type="dxa" w:w="80"/>
              <w:right w:type="dxa" w:w="110"/>
            </w:tcMar>
          </w:tcPr>
          <w:p>
            <w:pPr>
              <w:spacing w:after="0"/>
            </w:pPr>
            <w:r>
              <w:rPr>
                <w:b/>
                <w:bCs/>
              </w:rPr>
              <w:t xml:space="preserve">BL-3</w:t>
            </w:r>
          </w:p>
        </w:tc>
        <w:tc>
          <w:tcPr>
            <w:tcW w:type="dxa" w:w="3240"/>
            <w:tcMar>
              <w:top w:type="dxa" w:w="80"/>
              <w:left w:type="dxa" w:w="110"/>
              <w:bottom w:type="dxa" w:w="80"/>
              <w:right w:type="dxa" w:w="110"/>
            </w:tcMar>
          </w:tcPr>
          <w:p>
            <w:pPr>
              <w:spacing w:after="0"/>
            </w:pPr>
            <w:r>
              <w:t xml:space="preserve">Every field marked [CRITICAL] where a null suppresses the rating; the blank-field consequence restated against the numeric null and confidence rules at CORE §9.8.</w:t>
            </w:r>
          </w:p>
        </w:tc>
      </w:tr>
      <w:tr>
        <w:tc>
          <w:tcPr>
            <w:tcW w:type="dxa" w:w="6120"/>
            <w:shd w:fill="F2F2F2" w:color="auto" w:val="clear"/>
            <w:tcMar>
              <w:top w:type="dxa" w:w="80"/>
              <w:left w:type="dxa" w:w="110"/>
              <w:bottom w:type="dxa" w:w="80"/>
              <w:right w:type="dxa" w:w="110"/>
            </w:tcMar>
          </w:tcPr>
          <w:p>
            <w:pPr>
              <w:spacing w:after="0"/>
            </w:pPr>
            <w:r>
              <w:rPr>
                <w:b/>
                <w:bCs/>
              </w:rPr>
              <w:t xml:space="preserve">BL-5</w:t>
            </w:r>
          </w:p>
        </w:tc>
        <w:tc>
          <w:tcPr>
            <w:tcW w:type="dxa" w:w="3240"/>
            <w:tcMar>
              <w:top w:type="dxa" w:w="80"/>
              <w:left w:type="dxa" w:w="110"/>
              <w:bottom w:type="dxa" w:w="80"/>
              <w:right w:type="dxa" w:w="110"/>
            </w:tcMar>
          </w:tcPr>
          <w:p>
            <w:pPr>
              <w:spacing w:after="0"/>
            </w:pPr>
            <w:r>
              <w:t xml:space="preserve">Offtaker credit quality removed from Block A offtake fields; now collected only at Section N. Section A.7 renamed to Generation Performance Evidence.</w:t>
            </w:r>
          </w:p>
        </w:tc>
      </w:tr>
      <w:tr>
        <w:tc>
          <w:tcPr>
            <w:tcW w:type="dxa" w:w="6120"/>
            <w:shd w:fill="F2F2F2" w:color="auto" w:val="clear"/>
            <w:tcMar>
              <w:top w:type="dxa" w:w="80"/>
              <w:left w:type="dxa" w:w="110"/>
              <w:bottom w:type="dxa" w:w="80"/>
              <w:right w:type="dxa" w:w="110"/>
            </w:tcMar>
          </w:tcPr>
          <w:p>
            <w:pPr>
              <w:spacing w:after="0"/>
            </w:pPr>
            <w:r>
              <w:rPr>
                <w:b/>
                <w:bCs/>
              </w:rPr>
              <w:t xml:space="preserve">BL-6, MAJ-15</w:t>
            </w:r>
          </w:p>
        </w:tc>
        <w:tc>
          <w:tcPr>
            <w:tcW w:type="dxa" w:w="3240"/>
            <w:tcMar>
              <w:top w:type="dxa" w:w="80"/>
              <w:left w:type="dxa" w:w="110"/>
              <w:bottom w:type="dxa" w:w="80"/>
              <w:right w:type="dxa" w:w="110"/>
            </w:tcMar>
          </w:tcPr>
          <w:p>
            <w:pPr>
              <w:spacing w:after="0"/>
            </w:pPr>
            <w:r>
              <w:t xml:space="preserve">Offtaker capacity extended from two counterparties to four plus an aggregated line; 25% dominance threshold and worst-tier rule explained.</w:t>
            </w:r>
          </w:p>
        </w:tc>
      </w:tr>
      <w:tr>
        <w:tc>
          <w:tcPr>
            <w:tcW w:type="dxa" w:w="6120"/>
            <w:shd w:fill="F2F2F2" w:color="auto" w:val="clear"/>
            <w:tcMar>
              <w:top w:type="dxa" w:w="80"/>
              <w:left w:type="dxa" w:w="110"/>
              <w:bottom w:type="dxa" w:w="80"/>
              <w:right w:type="dxa" w:w="110"/>
            </w:tcMar>
          </w:tcPr>
          <w:p>
            <w:pPr>
              <w:spacing w:after="0"/>
            </w:pPr>
            <w:r>
              <w:rPr>
                <w:b/>
                <w:bCs/>
              </w:rPr>
              <w:t xml:space="preserve">BL-8</w:t>
            </w:r>
          </w:p>
        </w:tc>
        <w:tc>
          <w:tcPr>
            <w:tcW w:type="dxa" w:w="3240"/>
            <w:tcMar>
              <w:top w:type="dxa" w:w="80"/>
              <w:left w:type="dxa" w:w="110"/>
              <w:bottom w:type="dxa" w:w="80"/>
              <w:right w:type="dxa" w:w="110"/>
            </w:tcMar>
          </w:tcPr>
          <w:p>
            <w:pPr>
              <w:spacing w:after="0"/>
            </w:pPr>
            <w:r>
              <w:t xml:space="preserve">Three narrative fields carrying 25 of 115 points replaced with enumerated selections and numeric inputs: competitive and essentiality position, price and volume risk, regulatory stability.</w:t>
            </w:r>
          </w:p>
        </w:tc>
      </w:tr>
      <w:tr>
        <w:tc>
          <w:tcPr>
            <w:tcW w:type="dxa" w:w="6120"/>
            <w:shd w:fill="F2F2F2" w:color="auto" w:val="clear"/>
            <w:tcMar>
              <w:top w:type="dxa" w:w="80"/>
              <w:left w:type="dxa" w:w="110"/>
              <w:bottom w:type="dxa" w:w="80"/>
              <w:right w:type="dxa" w:w="110"/>
            </w:tcMar>
          </w:tcPr>
          <w:p>
            <w:pPr>
              <w:spacing w:after="0"/>
            </w:pPr>
            <w:r>
              <w:rPr>
                <w:b/>
                <w:bCs/>
              </w:rPr>
              <w:t xml:space="preserve">BL-9</w:t>
            </w:r>
          </w:p>
        </w:tc>
        <w:tc>
          <w:tcPr>
            <w:tcW w:type="dxa" w:w="3240"/>
            <w:tcMar>
              <w:top w:type="dxa" w:w="80"/>
              <w:left w:type="dxa" w:w="110"/>
              <w:bottom w:type="dxa" w:w="80"/>
              <w:right w:type="dxa" w:w="110"/>
            </w:tcMar>
          </w:tcPr>
          <w:p>
            <w:pPr>
              <w:spacing w:after="0"/>
            </w:pPr>
            <w:r>
              <w:t xml:space="preserve">Technology type marked [CRITICAL] — it now selects the DSCR threshold set at CORE §4.0.</w:t>
            </w:r>
          </w:p>
        </w:tc>
      </w:tr>
      <w:tr>
        <w:tc>
          <w:tcPr>
            <w:tcW w:type="dxa" w:w="6120"/>
            <w:shd w:fill="F2F2F2" w:color="auto" w:val="clear"/>
            <w:tcMar>
              <w:top w:type="dxa" w:w="80"/>
              <w:left w:type="dxa" w:w="110"/>
              <w:bottom w:type="dxa" w:w="80"/>
              <w:right w:type="dxa" w:w="110"/>
            </w:tcMar>
          </w:tcPr>
          <w:p>
            <w:pPr>
              <w:spacing w:after="0"/>
            </w:pPr>
            <w:r>
              <w:rPr>
                <w:b/>
                <w:bCs/>
              </w:rPr>
              <w:t xml:space="preserve">MAJ-11</w:t>
            </w:r>
          </w:p>
        </w:tc>
        <w:tc>
          <w:tcPr>
            <w:tcW w:type="dxa" w:w="3240"/>
            <w:tcMar>
              <w:top w:type="dxa" w:w="80"/>
              <w:left w:type="dxa" w:w="110"/>
              <w:bottom w:type="dxa" w:w="80"/>
              <w:right w:type="dxa" w:w="110"/>
            </w:tcMar>
          </w:tcPr>
          <w:p>
            <w:pPr>
              <w:spacing w:after="0"/>
            </w:pPr>
            <w:r>
              <w:t xml:space="preserve">Refinancing pre-classification replaced with a numeric bullet share and four discrete mitigant flags.</w:t>
            </w:r>
          </w:p>
        </w:tc>
      </w:tr>
      <w:tr>
        <w:tc>
          <w:tcPr>
            <w:tcW w:type="dxa" w:w="6120"/>
            <w:shd w:fill="F2F2F2" w:color="auto" w:val="clear"/>
            <w:tcMar>
              <w:top w:type="dxa" w:w="80"/>
              <w:left w:type="dxa" w:w="110"/>
              <w:bottom w:type="dxa" w:w="80"/>
              <w:right w:type="dxa" w:w="110"/>
            </w:tcMar>
          </w:tcPr>
          <w:p>
            <w:pPr>
              <w:spacing w:after="0"/>
            </w:pPr>
            <w:r>
              <w:rPr>
                <w:b/>
                <w:bCs/>
              </w:rPr>
              <w:t xml:space="preserve">MAJ-12</w:t>
            </w:r>
          </w:p>
        </w:tc>
        <w:tc>
          <w:tcPr>
            <w:tcW w:type="dxa" w:w="3240"/>
            <w:tcMar>
              <w:top w:type="dxa" w:w="80"/>
              <w:left w:type="dxa" w:w="110"/>
              <w:bottom w:type="dxa" w:w="80"/>
              <w:right w:type="dxa" w:w="110"/>
            </w:tcMar>
          </w:tcPr>
          <w:p>
            <w:pPr>
              <w:spacing w:after="0"/>
            </w:pPr>
            <w:r>
              <w:t xml:space="preserve">Ramp-up state added; EPC structure, contractor standing, contingency % and execution complexity separated into discrete fields.</w:t>
            </w:r>
          </w:p>
        </w:tc>
      </w:tr>
      <w:tr>
        <w:tc>
          <w:tcPr>
            <w:tcW w:type="dxa" w:w="6120"/>
            <w:shd w:fill="F2F2F2" w:color="auto" w:val="clear"/>
            <w:tcMar>
              <w:top w:type="dxa" w:w="80"/>
              <w:left w:type="dxa" w:w="110"/>
              <w:bottom w:type="dxa" w:w="80"/>
              <w:right w:type="dxa" w:w="110"/>
            </w:tcMar>
          </w:tcPr>
          <w:p>
            <w:pPr>
              <w:spacing w:after="0"/>
            </w:pPr>
            <w:r>
              <w:rPr>
                <w:b/>
                <w:bCs/>
              </w:rPr>
              <w:t xml:space="preserve">MAJ-17</w:t>
            </w:r>
          </w:p>
        </w:tc>
        <w:tc>
          <w:tcPr>
            <w:tcW w:type="dxa" w:w="3240"/>
            <w:tcMar>
              <w:top w:type="dxa" w:w="80"/>
              <w:left w:type="dxa" w:w="110"/>
              <w:bottom w:type="dxa" w:w="80"/>
              <w:right w:type="dxa" w:w="110"/>
            </w:tcMar>
          </w:tcPr>
          <w:p>
            <w:pPr>
              <w:spacing w:after="0"/>
            </w:pPr>
            <w:r>
              <w:t xml:space="preserve">Balance-of-plant and grid-integration complexity given its own enumerated field.</w:t>
            </w:r>
          </w:p>
        </w:tc>
      </w:tr>
      <w:tr>
        <w:tc>
          <w:tcPr>
            <w:tcW w:type="dxa" w:w="6120"/>
            <w:shd w:fill="F2F2F2" w:color="auto" w:val="clear"/>
            <w:tcMar>
              <w:top w:type="dxa" w:w="80"/>
              <w:left w:type="dxa" w:w="110"/>
              <w:bottom w:type="dxa" w:w="80"/>
              <w:right w:type="dxa" w:w="110"/>
            </w:tcMar>
          </w:tcPr>
          <w:p>
            <w:pPr>
              <w:spacing w:after="0"/>
            </w:pPr>
            <w:r>
              <w:rPr>
                <w:b/>
                <w:bCs/>
              </w:rPr>
              <w:t xml:space="preserve">MAJ-25</w:t>
            </w:r>
          </w:p>
        </w:tc>
        <w:tc>
          <w:tcPr>
            <w:tcW w:type="dxa" w:w="3240"/>
            <w:tcMar>
              <w:top w:type="dxa" w:w="80"/>
              <w:left w:type="dxa" w:w="110"/>
              <w:bottom w:type="dxa" w:w="80"/>
              <w:right w:type="dxa" w:w="110"/>
            </w:tcMar>
          </w:tcPr>
          <w:p>
            <w:pPr>
              <w:spacing w:after="0"/>
            </w:pPr>
            <w:r>
              <w:t xml:space="preserve">ALMM guidance corrected: segmentation was inverted in v1.0; exemption route was omitted; superseding July 2026 memorandum now reflected.</w:t>
            </w:r>
          </w:p>
        </w:tc>
      </w:tr>
      <w:tr>
        <w:tc>
          <w:tcPr>
            <w:tcW w:type="dxa" w:w="6120"/>
            <w:shd w:fill="F2F2F2" w:color="auto" w:val="clear"/>
            <w:tcMar>
              <w:top w:type="dxa" w:w="80"/>
              <w:left w:type="dxa" w:w="110"/>
              <w:bottom w:type="dxa" w:w="80"/>
              <w:right w:type="dxa" w:w="110"/>
            </w:tcMar>
          </w:tcPr>
          <w:p>
            <w:pPr>
              <w:spacing w:after="0"/>
            </w:pPr>
            <w:r>
              <w:rPr>
                <w:b/>
                <w:bCs/>
              </w:rPr>
              <w:t xml:space="preserve">MAJ-16</w:t>
            </w:r>
          </w:p>
        </w:tc>
        <w:tc>
          <w:tcPr>
            <w:tcW w:type="dxa" w:w="3240"/>
            <w:tcMar>
              <w:top w:type="dxa" w:w="80"/>
              <w:left w:type="dxa" w:w="110"/>
              <w:bottom w:type="dxa" w:w="80"/>
              <w:right w:type="dxa" w:w="110"/>
            </w:tcMar>
          </w:tcPr>
          <w:p>
            <w:pPr>
              <w:spacing w:after="0"/>
            </w:pPr>
            <w:r>
              <w:t xml:space="preserve">Handled in Template 2 — DSRA encumbrance question moved from a Yes/No gate to a total-plus-encumbered-portion pair.</w:t>
            </w:r>
          </w:p>
        </w:tc>
      </w:tr>
      <w:tr>
        <w:tc>
          <w:tcPr>
            <w:tcW w:type="dxa" w:w="6120"/>
            <w:shd w:fill="F2F2F2" w:color="auto" w:val="clear"/>
            <w:tcMar>
              <w:top w:type="dxa" w:w="80"/>
              <w:left w:type="dxa" w:w="110"/>
              <w:bottom w:type="dxa" w:w="80"/>
              <w:right w:type="dxa" w:w="110"/>
            </w:tcMar>
          </w:tcPr>
          <w:p>
            <w:pPr>
              <w:spacing w:after="0"/>
            </w:pPr>
            <w:r>
              <w:rPr>
                <w:b/>
                <w:bCs/>
              </w:rPr>
              <w:t xml:space="preserve">MIN-1</w:t>
            </w:r>
          </w:p>
        </w:tc>
        <w:tc>
          <w:tcPr>
            <w:tcW w:type="dxa" w:w="3240"/>
            <w:tcMar>
              <w:top w:type="dxa" w:w="80"/>
              <w:left w:type="dxa" w:w="110"/>
              <w:bottom w:type="dxa" w:w="80"/>
              <w:right w:type="dxa" w:w="110"/>
            </w:tcMar>
          </w:tcPr>
          <w:p>
            <w:pPr>
              <w:spacing w:after="0"/>
            </w:pPr>
            <w:r>
              <w:t xml:space="preserve">Enumerated option strings aligned to canonical vocabularies at CORE §10.3.</w:t>
            </w:r>
          </w:p>
        </w:tc>
      </w:tr>
      <w:tr>
        <w:tc>
          <w:tcPr>
            <w:tcW w:type="dxa" w:w="6120"/>
            <w:shd w:fill="F2F2F2" w:color="auto" w:val="clear"/>
            <w:tcMar>
              <w:top w:type="dxa" w:w="80"/>
              <w:left w:type="dxa" w:w="110"/>
              <w:bottom w:type="dxa" w:w="80"/>
              <w:right w:type="dxa" w:w="110"/>
            </w:tcMar>
          </w:tcPr>
          <w:p>
            <w:pPr>
              <w:spacing w:after="0"/>
            </w:pPr>
            <w:r>
              <w:rPr>
                <w:b/>
                <w:bCs/>
              </w:rPr>
              <w:t xml:space="preserve">MIN-3</w:t>
            </w:r>
          </w:p>
        </w:tc>
        <w:tc>
          <w:tcPr>
            <w:tcW w:type="dxa" w:w="3240"/>
            <w:tcMar>
              <w:top w:type="dxa" w:w="80"/>
              <w:left w:type="dxa" w:w="110"/>
              <w:bottom w:type="dxa" w:w="80"/>
              <w:right w:type="dxa" w:w="110"/>
            </w:tcMar>
          </w:tcPr>
          <w:p>
            <w:pPr>
              <w:spacing w:after="0"/>
            </w:pPr>
            <w:r>
              <w:t xml:space="preserve">Formatting artefacts removed throughout.</w:t>
            </w:r>
          </w:p>
        </w:tc>
      </w:tr>
      <w:tr>
        <w:tc>
          <w:tcPr>
            <w:tcW w:type="dxa" w:w="6120"/>
            <w:shd w:fill="F2F2F2" w:color="auto" w:val="clear"/>
            <w:tcMar>
              <w:top w:type="dxa" w:w="80"/>
              <w:left w:type="dxa" w:w="110"/>
              <w:bottom w:type="dxa" w:w="80"/>
              <w:right w:type="dxa" w:w="110"/>
            </w:tcMar>
          </w:tcPr>
          <w:p>
            <w:pPr>
              <w:spacing w:after="0"/>
            </w:pPr>
            <w:r>
              <w:rPr>
                <w:b/>
                <w:bCs/>
              </w:rPr>
              <w:t xml:space="preserve">New</w:t>
            </w:r>
          </w:p>
        </w:tc>
        <w:tc>
          <w:tcPr>
            <w:tcW w:type="dxa" w:w="3240"/>
            <w:tcMar>
              <w:top w:type="dxa" w:w="80"/>
              <w:left w:type="dxa" w:w="110"/>
              <w:bottom w:type="dxa" w:w="80"/>
              <w:right w:type="dxa" w:w="110"/>
            </w:tcMar>
          </w:tcPr>
          <w:p>
            <w:pPr>
              <w:spacing w:after="0"/>
            </w:pPr>
            <w:r>
              <w:t xml:space="preserve">Document control block, COD date, calculation date, installed capacity, offtake state, and staleness confirmations added; every remaining narrative field labelled as audit trail.</w:t>
            </w:r>
          </w:p>
        </w:tc>
      </w:tr>
      <w:tr>
        <w:tc>
          <w:tcPr>
            <w:tcW w:type="dxa" w:w="6120"/>
            <w:shd w:fill="F2F2F2" w:color="auto" w:val="clear"/>
            <w:tcMar>
              <w:top w:type="dxa" w:w="80"/>
              <w:left w:type="dxa" w:w="110"/>
              <w:bottom w:type="dxa" w:w="80"/>
              <w:right w:type="dxa" w:w="110"/>
            </w:tcMar>
          </w:tcPr>
          <w:p>
            <w:pPr>
              <w:spacing w:after="0"/>
            </w:pPr>
            <w:r>
              <w:rPr>
                <w:b/>
                <w:bCs/>
              </w:rPr>
              <w:t xml:space="preserve">MAJ-11a</w:t>
            </w:r>
          </w:p>
        </w:tc>
        <w:tc>
          <w:tcPr>
            <w:tcW w:type="dxa" w:w="3240"/>
            <w:tcMar>
              <w:top w:type="dxa" w:w="80"/>
              <w:left w:type="dxa" w:w="110"/>
              <w:bottom w:type="dxa" w:w="80"/>
              <w:right w:type="dxa" w:w="110"/>
            </w:tcMar>
          </w:tcPr>
          <w:p>
            <w:pPr>
              <w:spacing w:after="0"/>
            </w:pPr>
            <w:r>
              <w:t xml:space="preserve">N.7 Mitigant 3 given a “Not Applicable — fully fixed-rate rupee facility with no floating-rate exposure” option. A project with no floating-rate exposure was previously forced to answer “No”, which reads as an absent mitigant rather than an inapplicable test. Mirrors the option already provided at D.3. Amendment of 30-07-2026, issued with the reference-data annexes.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shd w:fill="FDE9E9" w:color="auto" w:val="clear"/>
            <w:tcMar>
              <w:top w:type="dxa" w:w="130"/>
              <w:left w:type="dxa" w:w="140"/>
              <w:bottom w:type="dxa" w:w="130"/>
              <w:right w:type="dxa" w:w="140"/>
            </w:tcMar>
          </w:tcPr>
          <w:p>
            <w:pPr>
              <w:spacing w:after="0"/>
            </w:pPr>
            <w:r>
              <w:rPr>
                <w:sz w:val="18"/>
                <w:szCs w:val="18"/>
              </w:rPr>
              <w:t xml:space="preserve">Reading note: Where a field in this template is described as "not scored", it is still read by the rationale-drafting step and by the QA agent. Leaving it blank does not affect the score but does weaken the audit trail and may cause the QA agent to flag an unsupported statement in the drafted rationale.</w:t>
            </w:r>
          </w:p>
        </w:tc>
      </w:tr>
    </w:tbl>
    <w:p>
      <w:pPr>
        <w:spacing w:after="1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Rating Simulator — Standard Input Template v3.0</dc:title>
  <dc:creator>CA. Satish Tirumela</dc:creator>
  <dc:description>Blocks A and D and notching inputs. Aligned to Core Rating Criteria v3.0.</dc:description>
  <cp:lastModifiedBy>Un-named</cp:lastModifiedBy>
  <cp:revision>1</cp:revision>
  <dcterms:created xsi:type="dcterms:W3CDTF">2026-07-30T14:17:02.021Z</dcterms:created>
  <dcterms:modified xsi:type="dcterms:W3CDTF">2026-07-30T14:17:02.022Z</dcterms:modified>
</cp:coreProperties>
</file>

<file path=docProps/custom.xml><?xml version="1.0" encoding="utf-8"?>
<Properties xmlns="http://schemas.openxmlformats.org/officeDocument/2006/custom-properties" xmlns:vt="http://schemas.openxmlformats.org/officeDocument/2006/docPropsVTypes"/>
</file>