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B, Program path</w:t>
      </w:r>
    </w:p>
    <w:p>
      <w:r>
        <w:t>AWS partition: aws (AWS Commercial) | regions: us-east-1, us-west-2</w:t>
      </w:r>
    </w:p>
    <w:p>
      <w:r>
        <w:t>Generated from dataset 2026.10.08.01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(157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SHOULD</w:t>
      </w:r>
    </w:p>
    <w:p>
      <w:r>
        <w:rPr>
          <w:b/>
        </w:rPr>
        <w:t xml:space="preserve">What it looks for: </w:t>
      </w:r>
      <w:r>
        <w:rPr>
          <w:i w:val="0"/>
        </w:rPr>
        <w:t>Providers with 20x Class B Certifications SHOULD also include historical metrics in their Security Decision Record, supplying at least the following information for each applicable Key Security Indicator:</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likely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157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SDR framework generator</cp:lastModifiedBy>
  <cp:revision>1</cp:revision>
  <dcterms:created xsi:type="dcterms:W3CDTF">2026-10-08T00:00:00Z</dcterms:created>
  <dcterms:modified xsi:type="dcterms:W3CDTF">2026-10-08T00:00:00Z</dcterms:modified>
  <cp:category/>
  <cp:lastPrinted>2026-10-08T00:00:00Z</cp:lastPrinted>
</cp:coreProperties>
</file>