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C,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(reference architecture, replace with your real implementation): AWS Config managed rule multi-region-cloudtrail-enabled confirms an organization trail records management events in every region; pass requires COMPLIANT in every in-scope account. (automated, continuous (AWS Config evaluation), collected daily); Example (reference architecture, replace with your real implementation): AWS Config managed rule cloud-trail-log-file-validation-enabled confirms trail log-file integrity validation is on; pass requires COMPLIANT for every trail. (automated, continuous (AWS Config evaluation), collected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(reference architecture, replace with your real implementation): AWS Config managed rule mfa-enabled-for-iam-console-access confirms no console password exists without MFA; pass requires COMPLIANT in every in-scope account. (automated, continuous (AWS Config evaluation), collected daily); Example (reference architecture, replace with your real implementation): AWS Config managed rule root-account-mfa-enabled confirms the root user is MFA-protected; pass requires COMPLIANT in every in-scope account. (automated, continuous (AWS Config evaluation), collected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(reference architecture, replace with your real implementation): AWS Config managed rule encrypted-volumes confirms every attached EBS volume is encrypted; pass requires COMPLIANT for all resources. (automated, continuous (AWS Config evaluation), collected daily); Example (reference architecture, replace with your real implementation): AWS Config managed rule s3-bucket-server-side-encryption-enabled confirms default encryption on every bucket; pass requires COMPLIANT for all buckets. (automated, continuous (AWS Config evaluation), collected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