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B,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(158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B: SHOULD</w:t>
      </w:r>
    </w:p>
    <w:p>
      <w:r>
        <w:rPr>
          <w:b/>
        </w:rPr>
        <w:t xml:space="preserve">What it looks for: </w:t>
      </w:r>
      <w:r>
        <w:rPr>
          <w:i w:val="0"/>
        </w:rPr>
        <w:t>Providers seeking 20x Class B Certification SHOULD supply historical metrics for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MUST</w:t>
      </w:r>
    </w:p>
    <w:p>
      <w:r>
        <w:rPr>
          <w:b/>
        </w:rPr>
        <w:t xml:space="preserve">What it looks for: </w:t>
      </w:r>
      <w:r>
        <w:rPr>
          <w:i w:val="0"/>
        </w:rPr>
        <w:t>Providers with 20x Class B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SDR framework generator</cp:lastModifiedBy>
  <cp:revision>1</cp:revision>
  <dcterms:created xsi:type="dcterms:W3CDTF">2026-09-13T00:00:00Z</dcterms:created>
  <dcterms:modified xsi:type="dcterms:W3CDTF">2026-09-13T00:00:00Z</dcterms:modified>
  <cp:category/>
  <cp:lastPrinted>2026-09-13T00:00:00Z</cp:lastPrinted>
</cp:coreProperties>
</file>