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  <w:rtl w:val="0"/>
        </w:rPr>
        <w:t xml:space="preserve">Practical 6 : RNN (Sentiment Analysis)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664325" cy="33321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325" cy="333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641363" cy="343307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1363" cy="3433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728105" cy="32337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105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803288" cy="7535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3288" cy="75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584213" cy="266407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213" cy="266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708038" cy="28586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8038" cy="285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Fonts w:ascii="Lexend" w:cs="Lexend" w:eastAsia="Lexend" w:hAnsi="Lexend"/>
          <w:sz w:val="40"/>
          <w:szCs w:val="40"/>
        </w:rPr>
        <w:drawing>
          <wp:inline distB="114300" distT="114300" distL="114300" distR="114300">
            <wp:extent cx="6778002" cy="15954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8002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