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</w:pPr>
      <w:r>
        <w:rPr>
          <w:rFonts w:ascii="Arial" w:cs="Arial" w:eastAsia="Arial" w:hAnsi="Arial"/>
          <w:b/>
          <w:bCs/>
          <w:color w:val="007A7A"/>
          <w:sz w:val="18"/>
          <w:szCs w:val="18"/>
        </w:rPr>
        <w:t xml:space="preserve">DOCUMENTO INTERNO · SATI STUDIO DIGITAL</w:t>
      </w:r>
    </w:p>
    <w:p>
      <w:pPr>
        <w:spacing w:after="28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Plan director para Dani — adaptar versión client-facing para Rocío y Tatiana cuando corresponda</w:t>
      </w:r>
    </w:p>
    <w:p>
      <w:pPr>
        <w:pStyle w:val="Title"/>
        <w:spacing w:after="80"/>
      </w:pPr>
      <w:r>
        <w:rPr>
          <w:rFonts w:ascii="Arial" w:cs="Arial" w:eastAsia="Arial" w:hAnsi="Arial"/>
          <w:b/>
          <w:bCs/>
          <w:color w:val="E8007D"/>
          <w:sz w:val="44"/>
          <w:szCs w:val="44"/>
        </w:rPr>
        <w:t xml:space="preserve">Proyecto BA H2 2026</w:t>
      </w:r>
    </w:p>
    <w:p>
      <w:pPr>
        <w:spacing w:after="60"/>
      </w:pPr>
      <w:r>
        <w:rPr>
          <w:rFonts w:ascii="Arial" w:cs="Arial" w:eastAsia="Arial" w:hAnsi="Arial"/>
          <w:color w:val="2C2C2C"/>
          <w:sz w:val="24"/>
          <w:szCs w:val="24"/>
        </w:rPr>
        <w:t xml:space="preserve">Plan progresivo 15 julio → 31 diciembre 2026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007A7A"/>
          <w:sz w:val="21"/>
          <w:szCs w:val="21"/>
        </w:rPr>
        <w:t xml:space="preserve">Crecimiento sano de ingresos e interacciones + Portal de Pacientes (capa sobre AgendaPro)</w:t>
      </w:r>
    </w:p>
    <w:p>
      <w:pPr>
        <w:pStyle w:val="Heading1"/>
        <w:pBdr>
          <w:bottom w:val="single" w:color="E8007D" w:sz="6"/>
        </w:pBdr>
        <w:spacing w:after="140" w:before="320"/>
      </w:pPr>
      <w:r>
        <w:rPr>
          <w:rFonts w:ascii="Arial" w:cs="Arial" w:eastAsia="Arial" w:hAnsi="Arial"/>
          <w:b/>
          <w:bCs/>
          <w:color w:val="E8007D"/>
          <w:sz w:val="30"/>
          <w:szCs w:val="30"/>
        </w:rPr>
        <w:t xml:space="preserve">Marco del proyecto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007A7A"/>
          <w:sz w:val="23"/>
          <w:szCs w:val="23"/>
        </w:rPr>
        <w:t xml:space="preserve">Objetivos a diciembre 2026</w:t>
      </w:r>
    </w:p>
    <w:p>
      <w:pPr>
        <w:spacing w:after="11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1) Aumentar ingresos de forma progresiva y sana: crecimiento real (descontada inflación) sin quemar la base de pacientes con aumentos bruscos ni promociones destructivas.</w:t>
      </w:r>
    </w:p>
    <w:p>
      <w:pPr>
        <w:spacing w:after="11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2) Aumentar interacciones en redes: la nueva identidad visual como motor de alcance, guardados y conversaciones.</w:t>
      </w:r>
    </w:p>
    <w:p>
      <w:pPr>
        <w:spacing w:after="11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3) Portal de Pacientes v1 funcional: login + solicitud de turnos (agenda de especialistas vía AgendaPro) + resultados de estudios online. Capa sobre AgendaPro — no lo reemplaza.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007A7A"/>
          <w:sz w:val="23"/>
          <w:szCs w:val="23"/>
        </w:rPr>
        <w:t xml:space="preserve">Presupuesto</w:t>
      </w:r>
    </w:p>
    <w:p>
      <w:pPr>
        <w:spacing w:after="11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$350.000 ARS/mes exclusivos para pauta publicitaria durante los primeros meses. Distribución: jul–ago 100% Meta Ads; desde sept: ~$300k Meta + ~$50k Google Ads. El portal se financia con presupuesto separado a definir en el paso 18 (decisión GO/NO-GO).</w:t>
      </w:r>
    </w:p>
    <w:p>
      <w:pPr>
        <w:shd w:fill="FDECEA" w:val="clear"/>
        <w:spacing w:after="100" w:before="100"/>
      </w:pPr>
      <w:r>
        <w:rPr>
          <w:rFonts w:ascii="Arial" w:cs="Arial" w:eastAsia="Arial" w:hAnsi="Arial"/>
          <w:b/>
          <w:bCs/>
          <w:color w:val="C62828"/>
          <w:sz w:val="20"/>
          <w:szCs w:val="20"/>
        </w:rPr>
        <w:t xml:space="preserve">⚠ El portal '100% funcional al 31/12' depende de que la decisión GO se tome en septiembre. Si se posterga, el lanzamiento pasa a Q1 2027. Está marcado como riesgo, no como promesa.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007A7A"/>
          <w:sz w:val="23"/>
          <w:szCs w:val="23"/>
        </w:rPr>
        <w:t xml:space="preserve">Contexto de consumo — San Justo y aledaños (síntesis operativa)</w:t>
      </w:r>
    </w:p>
    <w:p>
      <w:pPr>
        <w:spacing w:after="11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Población trabajadora de clase media/media-baja (La Matanza), mayoritariamente cubierta por obras sociales saturadas (IOMA, PAMI, sindicales) con demoras de 30–90 días para especialistas. El paciente 'escapa' al circuito particular cuando la urgencia o el hartazgo lo justifican — ahí vive BA: resolutivo, accesible, sin vueltas.</w:t>
      </w:r>
    </w:p>
    <w:p>
      <w:pPr>
        <w:spacing w:after="11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Liquidez: días 1–10 del mes (cobro de sueldos) y aguinaldo (dic ~18). Decisora principal de salud del hogar: mujer 30–55 — gestiona turnos propios, de hijos y de padres mayores. Drivers de decisión: rapidez real, precio transparente, confianza (boca a boca + reseñas Google). El plan concentra promos de bajo costo en esas ventanas de liquidez y fechas afectivas (Día del Niño, Día de la Madre, fin de año), donde la decisión de gasto en salud familiar se activa.</w:t>
      </w:r>
    </w:p>
    <w:p>
      <w:pPr>
        <w:pStyle w:val="Heading1"/>
        <w:pBdr>
          <w:bottom w:val="single" w:color="E8007D" w:sz="6"/>
        </w:pBdr>
        <w:spacing w:after="140" w:before="320"/>
      </w:pPr>
      <w:r>
        <w:rPr>
          <w:rFonts w:ascii="Arial" w:cs="Arial" w:eastAsia="Arial" w:hAnsi="Arial"/>
          <w:b/>
          <w:bCs/>
          <w:color w:val="E8007D"/>
          <w:sz w:val="30"/>
          <w:szCs w:val="30"/>
        </w:rPr>
        <w:t xml:space="preserve">Plan por fases — pasos numerados</w:t>
      </w:r>
    </w:p>
    <w:p>
      <w:pPr>
        <w:shd w:fill="007A7A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FASE 0 — Cierre de base (15–31 julio)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E8007D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Tablero baseline</w:t>
      </w:r>
    </w:p>
    <w:p>
      <w:pPr>
        <w:spacing w:after="90"/>
        <w:ind w:left="3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Relevar con acceso a números reales: facturación mensual últimos 6 meses, consultas/mes por especialidad, pacientes nuevos/mes, tasa de conversión WhatsApp→turno, métricas IG actuales. Sin baseline no hay metas medibles — es el paso que habilita todo el resto.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E8007D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Sign-off del rebranding</w:t>
      </w:r>
    </w:p>
    <w:p>
      <w:pPr>
        <w:spacing w:after="90"/>
        <w:ind w:left="3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Presentar Brand Book v3.0 + kit de logo a Rocío y Tatiana en reunión de 30 min. Aprobación formal antes de producir nada con la identidad nueva.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E8007D"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Plantillas maestras en Canva</w:t>
      </w:r>
    </w:p>
    <w:p>
      <w:pPr>
        <w:spacing w:after="90"/>
        <w:ind w:left="3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Armar las dos plantillas del sistema (limpia e identificada) con vino, Montserrat Black y grillas 45/40/15 — la fábrica de contenido de acá a diciembre.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E8007D"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Logo vectorial definitivo</w:t>
      </w:r>
    </w:p>
    <w:p>
      <w:pPr>
        <w:spacing w:after="90"/>
        <w:ind w:left="3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Reconstruir isotipo y versión completa en vectores (impresión, fachada, papelería). El kit PNG actual sirve solo para digital.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E8007D"/>
          <w:sz w:val="22"/>
          <w:szCs w:val="22"/>
        </w:rPr>
        <w:t xml:space="preserve">5. </w:t>
      </w: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Continuidad de pauta julio</w:t>
      </w:r>
    </w:p>
    <w:p>
      <w:pPr>
        <w:spacing w:after="90"/>
        <w:ind w:left="3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Sprint 2 sigue con estilo actual hasta el 31/7 ($350k Meta). Contenido oportunista de cierre de Mundial solo si hay ángulo natural (sin forzar).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E8007D"/>
          <w:sz w:val="22"/>
          <w:szCs w:val="22"/>
        </w:rPr>
        <w:t xml:space="preserve">6. </w:t>
      </w: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Relevamiento de precios de competencia</w:t>
      </w:r>
    </w:p>
    <w:p>
      <w:pPr>
        <w:spacing w:after="90"/>
        <w:ind w:left="3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Mystery shopping a 5–8 centros de la zona: consulta particular, ecografías, especialidades clave. Registrar precio, demora de turno y modalidad de pago. Insumo directo del framework de precios.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E8007D"/>
          <w:sz w:val="22"/>
          <w:szCs w:val="22"/>
        </w:rPr>
        <w:t xml:space="preserve">7. </w:t>
      </w: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Calendario de consumo H2</w:t>
      </w:r>
    </w:p>
    <w:p>
      <w:pPr>
        <w:spacing w:after="90"/>
        <w:ind w:left="3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Fijar fechas de promos de bajo costo: Día del Niño (16/8), Día de la Madre (18/10), ventana aguinaldo (1–20/12), y ventanas de liquidez mensuales (días 1–10).</w:t>
      </w:r>
    </w:p>
    <w:p>
      <w:pPr>
        <w:shd w:fill="007A7A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FASE 1 — Rollout orgánico + fundamentos de pricing (agosto)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E8007D"/>
          <w:sz w:val="22"/>
          <w:szCs w:val="22"/>
        </w:rPr>
        <w:t xml:space="preserve">8. </w:t>
      </w: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Lanzamiento de la nueva identidad en orgánico</w:t>
      </w:r>
    </w:p>
    <w:p>
      <w:pPr>
        <w:spacing w:after="90"/>
        <w:ind w:left="3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2–3 posts/semana con el sistema nuevo (feed, stories, WhatsApp, Facebook). Pipeline 1→6 con las dos plantillas.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E8007D"/>
          <w:sz w:val="22"/>
          <w:szCs w:val="22"/>
        </w:rPr>
        <w:t xml:space="preserve">9. </w:t>
      </w: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Medición quincenal del rollout</w:t>
      </w:r>
    </w:p>
    <w:p>
      <w:pPr>
        <w:spacing w:after="90"/>
        <w:ind w:left="3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Cortes al 15/8 y 31/8 vs. baseline: alcance, guardados, visitas al perfil, conversaciones iniciadas. Criterio de éxito para llevar la identidad a ads: guardados +30% y conversaciones estables o mejores.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E8007D"/>
          <w:sz w:val="22"/>
          <w:szCs w:val="22"/>
        </w:rPr>
        <w:t xml:space="preserve">10. </w:t>
      </w: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Framework de Precios v1</w:t>
      </w:r>
    </w:p>
    <w:p>
      <w:pPr>
        <w:spacing w:after="90"/>
        <w:ind w:left="3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Entregable con metodologías estándar de la disciplina (no existe 'certificación' de pricing — existen métodos probados): estructura de costos por servicio (costo variable del profesional + fijos prorrateados), punto de equilibrio por servicio (análisis CVP), benchmarking competitivo (posicionar cada servicio en la banda de la zona) y value-based pricing para el diferencial 'turno hoy'. Referencia: Nagle &amp; Müller, The Strategy and Tactics of Pricing.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E8007D"/>
          <w:sz w:val="22"/>
          <w:szCs w:val="22"/>
        </w:rPr>
        <w:t xml:space="preserve">11. </w:t>
      </w: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Propuesta de ajuste trimestral a las socias</w:t>
      </w:r>
    </w:p>
    <w:p>
      <w:pPr>
        <w:spacing w:after="90"/>
        <w:ind w:left="3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Resolver el conflicto de fondo: no aumentos mensuales (fricción alta, las socias tienen razón en eso), pero tampoco precios congelados (erosión real). Método: ajuste TRIMESTRAL anclado a IPC acumulado (INDEC), ventanas sept y dic/ene, redondeo psicológico, comunicación anticipada. Es el estándar del sector salud particular argentino.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E8007D"/>
          <w:sz w:val="22"/>
          <w:szCs w:val="22"/>
        </w:rPr>
        <w:t xml:space="preserve">12. </w:t>
      </w: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Documento de psicología de consumo</w:t>
      </w:r>
    </w:p>
    <w:p>
      <w:pPr>
        <w:spacing w:after="90"/>
        <w:ind w:left="3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Formalizar la síntesis del marco (arriba) con datos: obras sociales dominantes en la zona, demoras promedio, ventanas de liquidez. Base para copy de campañas y elección de fechas.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E8007D"/>
          <w:sz w:val="22"/>
          <w:szCs w:val="22"/>
        </w:rPr>
        <w:t xml:space="preserve">13. </w:t>
      </w: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Promo Día del Niño (16/8)</w:t>
      </w:r>
    </w:p>
    <w:p>
      <w:pPr>
        <w:spacing w:after="90"/>
        <w:ind w:left="3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Pediatría como puerta de entrada: placa de bajo costo en WhatsApp Status + Canal + orgánico. Pauta mínima o nula — es test de promo de fecha, no campaña grande.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E8007D"/>
          <w:sz w:val="22"/>
          <w:szCs w:val="22"/>
        </w:rPr>
        <w:t xml:space="preserve">14. </w:t>
      </w: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Pauta agosto</w:t>
      </w:r>
    </w:p>
    <w:p>
      <w:pPr>
        <w:spacing w:after="90"/>
        <w:ind w:left="3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Meta $350k/mes con estilo actual (la identidad nueva NO entra a ads hasta validarse en orgánico). Estructura sprint intacta: 1 campaña, ad set estable, creativos rotativos.</w:t>
      </w:r>
    </w:p>
    <w:p>
      <w:pPr>
        <w:shd w:fill="007A7A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FASE 2 — Relanzamiento pago + discovery del portal (septiembre)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E8007D"/>
          <w:sz w:val="22"/>
          <w:szCs w:val="22"/>
        </w:rPr>
        <w:t xml:space="preserve">15. </w:t>
      </w: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Nueva identidad a Meta Ads</w:t>
      </w:r>
    </w:p>
    <w:p>
      <w:pPr>
        <w:spacing w:after="90"/>
        <w:ind w:left="3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Migrar los formatos ganadores del orgánico a la campaña CTW. Mantener la campaña y el ad set existentes (preserva aprendizaje) — solo rotan creativos.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E8007D"/>
          <w:sz w:val="22"/>
          <w:szCs w:val="22"/>
        </w:rPr>
        <w:t xml:space="preserve">16. </w:t>
      </w: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Lanzar Google Ads hyperlocal</w:t>
      </w:r>
    </w:p>
    <w:p>
      <w:pPr>
        <w:spacing w:after="90"/>
        <w:ind w:left="3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~$50k/mes en búsqueda: 'médico particular san justo', 'ecografía san justo', 'turno médico hoy' + extensión de llamada y ubicación. Capta demanda activa que Meta no ve.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E8007D"/>
          <w:sz w:val="22"/>
          <w:szCs w:val="22"/>
        </w:rPr>
        <w:t xml:space="preserve">17. </w:t>
      </w: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Primer ajuste de precios (ventana sept)</w:t>
      </w:r>
    </w:p>
    <w:p>
      <w:pPr>
        <w:spacing w:after="90"/>
        <w:ind w:left="3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Aplicar el framework aprobado en el paso 11. Medir elasticidad: si el volumen de turnos no cae más de lo previsto, el método queda validado ante las socias.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E8007D"/>
          <w:sz w:val="22"/>
          <w:szCs w:val="22"/>
        </w:rPr>
        <w:t xml:space="preserve">18. </w:t>
      </w: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Discovery del Portal de Pacientes → GO/NO-GO</w:t>
      </w:r>
    </w:p>
    <w:p>
      <w:pPr>
        <w:spacing w:after="90"/>
        <w:ind w:left="3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Definir MVP: login seguro + turnos (embed/link AgendaPro con agenda por especialista) + resultados de estudios (PDF subido por admin, descarga autenticada del paciente). Verificar API/opciones de AgendaPro, requisitos de datos sensibles (Ley 25.326: cifrado, consentimiento, backend real — no GitHub Pages), estimar presupuesto separado (infra ~USD 15–30/mes + horas de desarrollo). Las socias deciden GO/NO-GO acá.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E8007D"/>
          <w:sz w:val="22"/>
          <w:szCs w:val="22"/>
        </w:rPr>
        <w:t xml:space="preserve">19. </w:t>
      </w: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Primera revisión mensual formal</w:t>
      </w:r>
    </w:p>
    <w:p>
      <w:pPr>
        <w:spacing w:after="90"/>
        <w:ind w:left="3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Reunión de 30 min con socias: resultados de agosto vs. baseline, estado de precios, decisión portal.</w:t>
      </w:r>
    </w:p>
    <w:p>
      <w:pPr>
        <w:shd w:fill="007A7A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FASE 3 — Estacionalidad fuerte (octubre)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E8007D"/>
          <w:sz w:val="22"/>
          <w:szCs w:val="22"/>
        </w:rPr>
        <w:t xml:space="preserve">20. </w:t>
      </w: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Campaña Día de la Madre (dom 18/10)</w:t>
      </w:r>
    </w:p>
    <w:p>
      <w:pPr>
        <w:spacing w:after="90"/>
        <w:ind w:left="3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Prevención ginecológica + ecografías con el ángulo 'regalale / regalate un control'. Compliance estricto: sin miedo, sin urgencia falsa, framing de cuidado. Pauta reforzada semana del 12 al 18.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E8007D"/>
          <w:sz w:val="22"/>
          <w:szCs w:val="22"/>
        </w:rPr>
        <w:t xml:space="preserve">21. </w:t>
      </w: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Optimización de pauta con datos</w:t>
      </w:r>
    </w:p>
    <w:p>
      <w:pPr>
        <w:spacing w:after="90"/>
        <w:ind w:left="3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Con 6+ semanas de la identidad nueva en ads: apagar creativos fatigados, escalar ganadores, fijar CPA objetivo por conversación con los datos reales de sept.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E8007D"/>
          <w:sz w:val="22"/>
          <w:szCs w:val="22"/>
        </w:rPr>
        <w:t xml:space="preserve">22. </w:t>
      </w: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Build del portal (si GO)</w:t>
      </w:r>
    </w:p>
    <w:p>
      <w:pPr>
        <w:spacing w:after="90"/>
        <w:ind w:left="3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Arquitectura y desarrollo del MVP: auth, hosting seguro, panel interno de carga de resultados, vista paciente. Dani + Claude Code como equipo de build, con presupuesto separado aprobado.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E8007D"/>
          <w:sz w:val="22"/>
          <w:szCs w:val="22"/>
        </w:rPr>
        <w:t xml:space="preserve">23. </w:t>
      </w: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Motor de reseñas Google</w:t>
      </w:r>
    </w:p>
    <w:p>
      <w:pPr>
        <w:spacing w:after="90"/>
        <w:ind w:left="3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Flujo post-turno por WhatsApp pidiendo reseña (automatizable desde AgendaPro). Las reseñas son el activo de confianza más barato que existe y alimentan el boca a boca zonal.</w:t>
      </w:r>
    </w:p>
    <w:p>
      <w:pPr>
        <w:shd w:fill="007A7A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FASE 4 — Pre-temporada + build (noviembre)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E8007D"/>
          <w:sz w:val="22"/>
          <w:szCs w:val="22"/>
        </w:rPr>
        <w:t xml:space="preserve">24. </w:t>
      </w: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Campaña 'fin de año sin pendientes'</w:t>
      </w:r>
    </w:p>
    <w:p>
      <w:pPr>
        <w:spacing w:after="90"/>
        <w:ind w:left="3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Chequeos, aptos y controles antes de las fiestas — anticipa la liquidez del aguinaldo y llena agenda de diciembre.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E8007D"/>
          <w:sz w:val="22"/>
          <w:szCs w:val="22"/>
        </w:rPr>
        <w:t xml:space="preserve">25. </w:t>
      </w: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Piloto cerrado del portal</w:t>
      </w:r>
    </w:p>
    <w:p>
      <w:pPr>
        <w:spacing w:after="90"/>
        <w:ind w:left="3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20–30 pacientes reales usando login + resultados. Testeo del panel interno con la administrativa. Ajustes de usabilidad.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E8007D"/>
          <w:sz w:val="22"/>
          <w:szCs w:val="22"/>
        </w:rPr>
        <w:t xml:space="preserve">26. </w:t>
      </w: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Preparar segundo ajuste de precios</w:t>
      </w:r>
    </w:p>
    <w:p>
      <w:pPr>
        <w:spacing w:after="90"/>
        <w:ind w:left="3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Calcular IPC acumulado sept–nov y dejar la propuesta lista. Recomendación: aplicar en enero, no en diciembre — no ensuciar la ventana de fiestas con aumentos.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E8007D"/>
          <w:sz w:val="22"/>
          <w:szCs w:val="22"/>
        </w:rPr>
        <w:t xml:space="preserve">27. </w:t>
      </w: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Testimonios reales</w:t>
      </w:r>
    </w:p>
    <w:p>
      <w:pPr>
        <w:spacing w:after="90"/>
        <w:ind w:left="3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Producir 3–4 testimonios con foto real y consentimiento — refuerzan confianza justo antes del lanzamiento público del portal.</w:t>
      </w:r>
    </w:p>
    <w:p>
      <w:pPr>
        <w:shd w:fill="007A7A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FASE 5 — Cierre y lanzamiento (diciembre)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E8007D"/>
          <w:sz w:val="22"/>
          <w:szCs w:val="22"/>
        </w:rPr>
        <w:t xml:space="preserve">28. </w:t>
      </w: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Campaña ventana aguinaldo (1–20/12)</w:t>
      </w:r>
    </w:p>
    <w:p>
      <w:pPr>
        <w:spacing w:after="90"/>
        <w:ind w:left="3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Promos puntuales de bajo costo + pauta reforzada en la primera quincena. Mensaje: resolvé tu salud antes de que arranque el año.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E8007D"/>
          <w:sz w:val="22"/>
          <w:szCs w:val="22"/>
        </w:rPr>
        <w:t xml:space="preserve">29. </w:t>
      </w: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Lanzamiento público del Portal v1</w:t>
      </w:r>
    </w:p>
    <w:p>
      <w:pPr>
        <w:spacing w:after="90"/>
        <w:ind w:left="3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Comunicación en los 6 canales + QR en sala de espera + mensaje a base de pacientes recientes. Solo si el piloto de noviembre cerró sin problemas de seguridad ni usabilidad.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E8007D"/>
          <w:sz w:val="22"/>
          <w:szCs w:val="22"/>
        </w:rPr>
        <w:t xml:space="preserve">30. </w:t>
      </w: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Cierre anual y plan 2027</w:t>
      </w:r>
    </w:p>
    <w:p>
      <w:pPr>
        <w:spacing w:after="90"/>
        <w:ind w:left="3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Reporte de resultados vs. metas del paso 1, aprendizajes de pricing y pauta, y roadmap 2027: fase 2 del portal (turnos nativos, recordatorios automáticos), Google Ads escalado, expansión.</w:t>
      </w:r>
    </w:p>
    <w:p>
      <w:pPr>
        <w:pStyle w:val="Heading1"/>
        <w:pBdr>
          <w:bottom w:val="single" w:color="E8007D" w:sz="6"/>
        </w:pBdr>
        <w:spacing w:after="140" w:before="320"/>
      </w:pPr>
      <w:r>
        <w:rPr>
          <w:rFonts w:ascii="Arial" w:cs="Arial" w:eastAsia="Arial" w:hAnsi="Arial"/>
          <w:b/>
          <w:bCs/>
          <w:color w:val="E8007D"/>
          <w:sz w:val="30"/>
          <w:szCs w:val="30"/>
        </w:rPr>
        <w:t xml:space="preserve">Metas indicativas (se fijan definitivas con el baseline del paso 1)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4000"/>
        <w:gridCol w:w="4000"/>
      </w:tblGrid>
      <w:tr>
        <w:tc>
          <w:tcPr>
            <w:tcW w:type="pct" w:w="34%"/>
            <w:shd w:fill="007A7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Indicador</w:t>
            </w:r>
          </w:p>
        </w:tc>
        <w:tc>
          <w:tcPr>
            <w:tcW w:type="pct" w:w="33%"/>
            <w:shd w:fill="007A7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Baseline (paso 1)</w:t>
            </w:r>
          </w:p>
        </w:tc>
        <w:tc>
          <w:tcPr>
            <w:tcW w:type="pct" w:w="33%"/>
            <w:shd w:fill="007A7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Meta diciembre 2026</w:t>
            </w:r>
          </w:p>
        </w:tc>
      </w:tr>
      <w:tr>
        <w:tc>
          <w:tcPr>
            <w:tcW w:type="pct" w:w="34%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Pacientes nuevos / mes</w:t>
            </w:r>
          </w:p>
        </w:tc>
        <w:tc>
          <w:tcPr>
            <w:tcW w:type="pct" w:w="33%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 relevar</w:t>
            </w:r>
          </w:p>
        </w:tc>
        <w:tc>
          <w:tcPr>
            <w:tcW w:type="pct" w:w="33%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+20% vs. julio</w:t>
            </w:r>
          </w:p>
        </w:tc>
      </w:tr>
      <w:tr>
        <w:tc>
          <w:tcPr>
            <w:tcW w:type="pct" w:w="34%"/>
            <w:shd w:fill="F5F5F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Ingresos reales (deflactados IPC)</w:t>
            </w:r>
          </w:p>
        </w:tc>
        <w:tc>
          <w:tcPr>
            <w:tcW w:type="pct" w:w="33%"/>
            <w:shd w:fill="F5F5F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 relevar</w:t>
            </w:r>
          </w:p>
        </w:tc>
        <w:tc>
          <w:tcPr>
            <w:tcW w:type="pct" w:w="33%"/>
            <w:shd w:fill="F5F5F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+10–15% vs. julio</w:t>
            </w:r>
          </w:p>
        </w:tc>
      </w:tr>
      <w:tr>
        <w:tc>
          <w:tcPr>
            <w:tcW w:type="pct" w:w="34%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Guardados IG / pieza</w:t>
            </w:r>
          </w:p>
        </w:tc>
        <w:tc>
          <w:tcPr>
            <w:tcW w:type="pct" w:w="33%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 relevar</w:t>
            </w:r>
          </w:p>
        </w:tc>
        <w:tc>
          <w:tcPr>
            <w:tcW w:type="pct" w:w="33%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+50%</w:t>
            </w:r>
          </w:p>
        </w:tc>
      </w:tr>
      <w:tr>
        <w:tc>
          <w:tcPr>
            <w:tcW w:type="pct" w:w="34%"/>
            <w:shd w:fill="F5F5F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Alcance mensual IG</w:t>
            </w:r>
          </w:p>
        </w:tc>
        <w:tc>
          <w:tcPr>
            <w:tcW w:type="pct" w:w="33%"/>
            <w:shd w:fill="F5F5F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 relevar</w:t>
            </w:r>
          </w:p>
        </w:tc>
        <w:tc>
          <w:tcPr>
            <w:tcW w:type="pct" w:w="33%"/>
            <w:shd w:fill="F5F5F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+30%</w:t>
            </w:r>
          </w:p>
        </w:tc>
      </w:tr>
      <w:tr>
        <w:tc>
          <w:tcPr>
            <w:tcW w:type="pct" w:w="34%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Costo por conversación (Meta)</w:t>
            </w:r>
          </w:p>
        </w:tc>
        <w:tc>
          <w:tcPr>
            <w:tcW w:type="pct" w:w="33%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Datos sprint jul</w:t>
            </w:r>
          </w:p>
        </w:tc>
        <w:tc>
          <w:tcPr>
            <w:tcW w:type="pct" w:w="33%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Estable o −15%</w:t>
            </w:r>
          </w:p>
        </w:tc>
      </w:tr>
      <w:tr>
        <w:tc>
          <w:tcPr>
            <w:tcW w:type="pct" w:w="34%"/>
            <w:shd w:fill="F5F5F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Portal: pacientes con login</w:t>
            </w:r>
          </w:p>
        </w:tc>
        <w:tc>
          <w:tcPr>
            <w:tcW w:type="pct" w:w="33%"/>
            <w:shd w:fill="F5F5F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0</w:t>
            </w:r>
          </w:p>
        </w:tc>
        <w:tc>
          <w:tcPr>
            <w:tcW w:type="pct" w:w="33%"/>
            <w:shd w:fill="F5F5F5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100–200 (piloto + lanzamiento)</w:t>
            </w:r>
          </w:p>
        </w:tc>
      </w:tr>
    </w:tbl>
    <w:p>
      <w:pPr>
        <w:pStyle w:val="Heading1"/>
        <w:pBdr>
          <w:bottom w:val="single" w:color="E8007D" w:sz="6"/>
        </w:pBdr>
        <w:spacing w:after="140" w:before="320"/>
      </w:pPr>
      <w:r>
        <w:rPr>
          <w:rFonts w:ascii="Arial" w:cs="Arial" w:eastAsia="Arial" w:hAnsi="Arial"/>
          <w:b/>
          <w:bCs/>
          <w:color w:val="E8007D"/>
          <w:sz w:val="30"/>
          <w:szCs w:val="30"/>
        </w:rPr>
        <w:t xml:space="preserve">Gobernanza y riesgos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007A7A"/>
          <w:sz w:val="23"/>
          <w:szCs w:val="23"/>
        </w:rPr>
        <w:t xml:space="preserve">Cadencia</w:t>
      </w:r>
    </w:p>
    <w:p>
      <w:pPr>
        <w:spacing w:after="11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Reporte quincenal de 1 página (Dani) · Reunión mensual de 30 min con socias (respeta su límite de tiempo) · Revisión trimestral de precios (sept / ene).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007A7A"/>
          <w:sz w:val="23"/>
          <w:szCs w:val="23"/>
        </w:rPr>
        <w:t xml:space="preserve">Riesgos principales</w:t>
      </w:r>
    </w:p>
    <w:p>
      <w:pPr>
        <w:spacing w:after="11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1) Portal: si el GO se demora más allá de septiembre, el lanzamiento pasa a Q1 2027 — el resto del plan no se cae. 2) Precios: si las socias rechazan el ajuste trimestral, los ingresos reales caen con la inflación — el framework del paso 10–11 existe para dar respaldo técnico a esa conversación. 3) Fatiga creativa en ads: mitigada por rotación por sprint. 4) Datos sensibles del portal: cualquier atajo de seguridad es un riesgo legal y reputacional — si el presupuesto no alcanza para hacerlo bien, se hace más chico pero seguro.</w:t>
      </w:r>
    </w:p>
    <w:p>
      <w:pPr>
        <w:spacing w:before="300"/>
      </w:pPr>
      <w:r>
        <w:rPr>
          <w:rFonts w:ascii="Arial" w:cs="Arial" w:eastAsia="Arial" w:hAnsi="Arial"/>
          <w:color w:val="808080"/>
          <w:sz w:val="17"/>
          <w:szCs w:val="17"/>
        </w:rPr>
        <w:t xml:space="preserve">Sati Studio Digital · Proyecto BA H2 2026 · Julio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2026-07-14T23:20:43.357Z</dcterms:created>
  <dcterms:modified xsi:type="dcterms:W3CDTF">2026-07-14T23:20:43.358Z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