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Horizon — Weekly Status Update</w:t>
      </w:r>
    </w:p>
    <w:p>
      <w:r>
        <w:t xml:space="preserve">Week ending: 24 February 2026</w:t>
      </w:r>
    </w:p>
    <w:p>
      <w:r>
        <w:t xml:space="preserve">Prepared by: Priya Ramesh</w:t>
      </w:r>
    </w:p>
    <w:p>
      <w:r>
        <w:t xml:space="preserve"/>
      </w:r>
    </w:p>
    <w:p>
      <w:pPr>
        <w:pStyle w:val="Heading2"/>
      </w:pPr>
      <w:r>
        <w:t xml:space="preserve">Progress</w:t>
      </w:r>
    </w:p>
    <w:p>
      <w:r>
        <w:t xml:space="preserve">We are tracking against the revised four-deliverable scope confirmed at the steering committee on 10 February. Databricks on DataCorp Cloud is provisioned; Power BI workspace is partially built; the newly-added data-quality monitoring component is in design.</w:t>
      </w:r>
    </w:p>
    <w:p>
      <w:r>
        <w:t xml:space="preserve"/>
      </w:r>
    </w:p>
    <w:p>
      <w:pPr>
        <w:pStyle w:val="Heading2"/>
      </w:pPr>
      <w:r>
        <w:t xml:space="preserve">Deliverables Status</w:t>
      </w:r>
    </w:p>
    <w:p>
      <w:r>
        <w:t xml:space="preserve">(a) Databricks workspace — 80% complete, DataCorp Cloud provisioned.</w:t>
      </w:r>
    </w:p>
    <w:p>
      <w:r>
        <w:t xml:space="preserve">(b) Power BI reports — 50% complete.</w:t>
      </w:r>
    </w:p>
    <w:p>
      <w:r>
        <w:t xml:space="preserve">(c) Knowledge transfer — not started (planned for final fortnight).</w:t>
      </w:r>
    </w:p>
    <w:p>
      <w:r>
        <w:t xml:space="preserve">(d) Data-quality monitoring — 20% complete (added post-10-Feb steering).</w:t>
      </w:r>
    </w:p>
    <w:p>
      <w:r>
        <w:t xml:space="preserve"/>
      </w:r>
    </w:p>
    <w:p>
      <w:pPr>
        <w:pStyle w:val="Heading2"/>
      </w:pPr>
      <w:r>
        <w:t xml:space="preserve">People</w:t>
      </w:r>
    </w:p>
    <w:p>
      <w:r>
        <w:t xml:space="preserve">Marcus Lee has given notice and will roll off the project on 7 March. Handover plan needed. Priya to request formal handover document from Marcus by 3 March.</w:t>
      </w:r>
    </w:p>
    <w:p>
      <w:r>
        <w:t xml:space="preserve"/>
      </w:r>
    </w:p>
    <w:p>
      <w:pPr>
        <w:pStyle w:val="Heading2"/>
      </w:pPr>
      <w:r>
        <w:t xml:space="preserve">Deadline</w:t>
      </w:r>
    </w:p>
    <w:p>
      <w:r>
        <w:t xml:space="preserve">Targeting 30 March final delivery per revised steering committee scope.</w:t>
      </w:r>
    </w:p>
    <w:p>
      <w:r>
        <w:t xml:space="preserve"/>
      </w:r>
    </w:p>
    <w:p>
      <w:pPr>
        <w:pStyle w:val="Heading2"/>
      </w:pPr>
      <w:r>
        <w:t xml:space="preserve">Risks &amp; Escalations</w:t>
      </w:r>
    </w:p>
    <w:p>
      <w:r>
        <w:t xml:space="preserve">Vendor lock-in concern with DataCorp Cloud flagged in the risk register. Jun Park (NorthWind CTO) has asked for confirmation that the vendor switch aligns with their procurement standards.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2026-04-24T04:09:35.575Z</dcterms:created>
  <dcterms:modified xsi:type="dcterms:W3CDTF">2026-04-24T04:09:35.575Z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