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SCOPE AMENDMENT CONFIRMATION — Project Horizon</w:t>
      </w:r>
    </w:p>
    <w:p>
      <w:r>
        <w:t xml:space="preserve">Date: 25 February 2026</w:t>
      </w:r>
    </w:p>
    <w:p>
      <w:r>
        <w:t xml:space="preserve">From: Priya Ramesh (Temus PM)</w:t>
      </w:r>
    </w:p>
    <w:p>
      <w:r>
        <w:t xml:space="preserve">To: Project Horizon distribution list</w:t>
      </w:r>
    </w:p>
    <w:p>
      <w:r>
        <w:t xml:space="preserve">Subject: Confirmation — reverting to original scope and vendor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Following a call this morning with Jun Park (NorthWind CTO), the client has confirmed a reversion to the original project scope.</w:t>
      </w:r>
    </w:p>
    <w:p>
      <w:r>
        <w:t xml:space="preserve"/>
      </w:r>
    </w:p>
    <w:p>
      <w:pPr>
        <w:pStyle w:val="Heading2"/>
      </w:pPr>
      <w:r>
        <w:t xml:space="preserve">Confirmed Changes</w:t>
      </w:r>
    </w:p>
    <w:p>
      <w:r>
        <w:t xml:space="preserve">1. Deliverables: back to three (3) as per the original 15 January scope. The data-quality monitoring component (added at the 10 February steering) is descoped and will be handled under a separate Phase 2 engagement.</w:t>
      </w:r>
    </w:p>
    <w:p>
      <w:r>
        <w:t xml:space="preserve">2. Final delivery date: reverts to 15 March 2026.</w:t>
      </w:r>
    </w:p>
    <w:p>
      <w:r>
        <w:t xml:space="preserve">3. Cloud vendor: reverts to TechCorp Cloud. DataCorp provisioning to be wound down by end of week.</w:t>
      </w:r>
    </w:p>
    <w:p>
      <w:r>
        <w:t xml:space="preserve"/>
      </w:r>
    </w:p>
    <w:p>
      <w:pPr>
        <w:pStyle w:val="Heading2"/>
      </w:pPr>
      <w:r>
        <w:t xml:space="preserve">Rationale</w:t>
      </w:r>
    </w:p>
    <w:p>
      <w:r>
        <w:t xml:space="preserve">Jun Park raised procurement-standard concerns regarding DataCorp Cloud and prefers alignment with NorthWind's existing TechCorp master agreement. The reduced scope allows the 15 March deadline to remain achievable.</w:t>
      </w:r>
    </w:p>
    <w:p>
      <w:r>
        <w:t xml:space="preserve"/>
      </w:r>
    </w:p>
    <w:p>
      <w:pPr>
        <w:pStyle w:val="Heading2"/>
      </w:pPr>
      <w:r>
        <w:t xml:space="preserve">Action Required</w:t>
      </w:r>
    </w:p>
    <w:p>
      <w:r>
        <w:t xml:space="preserve">Sarah Chen: revise architecture design to remove data-quality monitoring workload.</w:t>
      </w:r>
    </w:p>
    <w:p>
      <w:r>
        <w:t xml:space="preserve">James Tan: begin migration from DataCorp Cloud to TechCorp Cloud by 28 February.</w:t>
      </w:r>
    </w:p>
    <w:p>
      <w:r>
        <w:t xml:space="preserve">Marcus Lee: align handover documentation with three-deliverable scope before his 7 March roll-off.</w:t>
      </w:r>
    </w:p>
    <w:p>
      <w:r>
        <w:t xml:space="preserve"/>
      </w:r>
    </w:p>
    <w:p>
      <w:r>
        <w:t xml:space="preserve">This amendment supersedes the steering committee decision of 10 February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2026-04-24T04:09:35.590Z</dcterms:created>
  <dcterms:modified xsi:type="dcterms:W3CDTF">2026-04-24T04:09:35.590Z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