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345643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Verdana" w:hAnsi="Verdana"/>
          <w:b/>
          <w:sz w:val="68"/>
        </w:rPr>
        <w:t>OPERAT</w:t>
      </w:r>
    </w:p>
    <w:p>
      <w:r>
        <w:rPr>
          <w:rFonts w:ascii="Verdana" w:hAnsi="Verdana"/>
          <w:b/>
          <w:sz w:val="70"/>
        </w:rPr>
        <w:t xml:space="preserve">FB </w:t>
      </w:r>
    </w:p>
    <w:p/>
    <w:p>
      <w:r>
        <w:rPr>
          <w:rFonts w:ascii="Verdana" w:hAnsi="Verdana"/>
          <w:sz w:val="50"/>
        </w:rPr>
        <w:t xml:space="preserve">Teiloperat </w:t>
      </w:r>
    </w:p>
    <w:p/>
    <w:p/>
    <w:p/>
    <w:p>
      <w:r>
        <w:rPr>
          <w:rFonts w:ascii="Verdana" w:hAnsi="Verdana"/>
          <w:sz w:val="40"/>
        </w:rPr>
        <w:t>Pernitz</w:t>
      </w:r>
    </w:p>
    <w:p>
      <w:r>
        <w:rPr>
          <w:rFonts w:ascii="Verdana" w:hAnsi="Verdana"/>
          <w:sz w:val="40"/>
        </w:rPr>
        <w:t>Haselbach</w:t>
      </w:r>
    </w:p>
    <w:p>
      <w:r>
        <w:rPr>
          <w:rFonts w:ascii="Verdana" w:hAnsi="Verdana"/>
          <w:sz w:val="40"/>
        </w:rPr>
        <w:t>Hinterbrühl</w:t>
      </w:r>
    </w:p>
    <w:p>
      <w:r>
        <w:rPr>
          <w:rFonts w:ascii="Verdana" w:hAnsi="Verdana"/>
          <w:sz w:val="36"/>
        </w:rPr>
        <w:t>Organisationsstand 01.01.Hinterbrühl</w:t>
      </w:r>
    </w:p>
    <w:p>
      <w:r>
        <w:rPr>
          <w:rFonts w:ascii="Verdana" w:hAnsi="Verdana"/>
          <w:sz w:val="36"/>
        </w:rPr>
        <w:t>Laufzeit 01.01. - 31.12.</w:t>
      </w:r>
    </w:p>
    <w:p>
      <w:r>
        <w:rPr>
          <w:rFonts w:ascii="Verdana" w:hAnsi="Verdana"/>
          <w:sz w:val="24"/>
        </w:rPr>
        <w:t>Für die Unternehmensleitung                       Für der Forstbetrieb</w:t>
      </w:r>
    </w:p>
    <w:p>
      <w:r>
        <w:br w:type="page"/>
      </w:r>
    </w:p>
    <w:p/>
    <w:p/>
    <w:p/>
    <w:p>
      <w:r>
        <w:t xml:space="preserve">Erstellung vom Teiloperat mit AutOP </w:t>
      </w:r>
      <w:r>
        <w:rPr>
          <w:rFonts w:ascii="Verdana" w:hAnsi="Verdana"/>
          <w:sz w:val="16"/>
        </w:rPr>
        <w:t xml:space="preserve"> Version 3.8</w:t>
      </w:r>
    </w:p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F83" w14:textId="77777777" w:rsidR="00AB54FD" w:rsidRDefault="00AB54FD" w:rsidP="001657F3">
      <w:r>
        <w:separator/>
      </w:r>
    </w:p>
  </w:endnote>
  <w:endnote w:type="continuationSeparator" w:id="0">
    <w:p w14:paraId="797D398B" w14:textId="77777777" w:rsidR="00AB54FD" w:rsidRDefault="00AB54FD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9E8E" w14:textId="77777777" w:rsidR="00AB54FD" w:rsidRDefault="00AB54FD" w:rsidP="001657F3">
      <w:r>
        <w:separator/>
      </w:r>
    </w:p>
  </w:footnote>
  <w:footnote w:type="continuationSeparator" w:id="0">
    <w:p w14:paraId="412703A8" w14:textId="77777777" w:rsidR="00AB54FD" w:rsidRDefault="00AB54FD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AT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81CAA-D42F-E045-8FFA-0A44AE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6</cp:revision>
  <dcterms:created xsi:type="dcterms:W3CDTF">2018-04-22T16:53:00Z</dcterms:created>
  <dcterms:modified xsi:type="dcterms:W3CDTF">2019-11-20T11:38:00Z</dcterms:modified>
</cp:coreProperties>
</file>