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A312C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A312C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A312C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C97B6E"/>
          <w:sz w:val="18"/>
          <w:szCs w:val="18"/>
        </w:rPr>
        <w:t xml:space="preserve">UX CASE STUDY</w:t>
      </w:r>
    </w:p>
    <w:p>
      <w:pPr>
        <w:spacing w:after="60" w:before="12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3A312C"/>
          <w:sz w:val="52"/>
          <w:szCs w:val="52"/>
        </w:rPr>
        <w:t xml:space="preserve">AI-Assisted Engagement Intake Navigator</w:t>
      </w:r>
    </w:p>
    <w:p>
      <w:pPr>
        <w:spacing w:after="120" w:before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B5C54"/>
          <w:sz w:val="24"/>
          <w:szCs w:val="24"/>
        </w:rPr>
        <w:t xml:space="preserve">Designing an AI co-pilot for enterprise compliance intake —</w:t>
      </w:r>
    </w:p>
    <w:p>
      <w:pPr>
        <w:spacing w:after="320" w:before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B5C54"/>
          <w:sz w:val="24"/>
          <w:szCs w:val="24"/>
        </w:rPr>
        <w:t xml:space="preserve">document-driven, error-preventive, and built for enterprise workflows.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A312C"/>
                <w:sz w:val="20"/>
                <w:szCs w:val="20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UX Designer &amp; Product Thinker</w:t>
            </w:r>
          </w:p>
        </w:tc>
      </w:tr>
      <w:tr>
        <w:tc>
          <w:tcPr>
            <w:tcW w:type="dxa" w:w="24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A312C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Exploratory / Portfolio Case Study</w:t>
            </w:r>
          </w:p>
        </w:tc>
      </w:tr>
      <w:tr>
        <w:tc>
          <w:tcPr>
            <w:tcW w:type="dxa" w:w="24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A312C"/>
                <w:sz w:val="20"/>
                <w:szCs w:val="20"/>
              </w:rPr>
              <w:t xml:space="preserve">Domain</w:t>
            </w:r>
          </w:p>
        </w:tc>
        <w:tc>
          <w:tcPr>
            <w:tcW w:type="dxa" w:w="69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Enterprise Compliance Intake</w:t>
            </w:r>
          </w:p>
        </w:tc>
      </w:tr>
      <w:tr>
        <w:tc>
          <w:tcPr>
            <w:tcW w:type="dxa" w:w="24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A312C"/>
                <w:sz w:val="20"/>
                <w:szCs w:val="20"/>
              </w:rPr>
              <w:t xml:space="preserve">Platform</w:t>
            </w:r>
          </w:p>
        </w:tc>
        <w:tc>
          <w:tcPr>
            <w:tcW w:type="dxa" w:w="69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Salesforce + AI Navigator Layer</w:t>
            </w:r>
          </w:p>
        </w:tc>
      </w:tr>
      <w:tr>
        <w:tc>
          <w:tcPr>
            <w:tcW w:type="dxa" w:w="24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A312C"/>
                <w:sz w:val="20"/>
                <w:szCs w:val="20"/>
              </w:rPr>
              <w:t xml:space="preserve">Year</w:t>
            </w:r>
          </w:p>
        </w:tc>
        <w:tc>
          <w:tcPr>
            <w:tcW w:type="dxa" w:w="69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2026 — Hypothetical</w:t>
            </w:r>
          </w:p>
        </w:tc>
      </w:tr>
    </w:tbl>
    <w:p>
      <w:pPr>
        <w:spacing w:after="120" w:before="0"/>
        <w:jc w:val="left"/>
      </w:pPr>
      <w:r>
        <w:br/>
      </w:r>
    </w:p>
    <w:p>
      <w:pPr>
        <w:spacing w:after="80" w:before="32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C97B6E"/>
          <w:sz w:val="18"/>
          <w:szCs w:val="18"/>
        </w:rPr>
        <w:t xml:space="preserve">— </w:t>
      </w:r>
      <w:r>
        <w:rPr>
          <w:rFonts w:ascii="Georgia" w:cs="Georgia" w:eastAsia="Georgia" w:hAnsi="Georgia"/>
          <w:b/>
          <w:bCs/>
          <w:i w:val="false"/>
          <w:iCs w:val="false"/>
          <w:color w:val="C97B6E"/>
          <w:sz w:val="18"/>
          <w:szCs w:val="18"/>
        </w:rPr>
        <w:t xml:space="preserve">OVERVIEW</w:t>
      </w:r>
    </w:p>
    <w:p>
      <w:pPr>
        <w:pBdr>
          <w:bottom w:val="single" w:color="C97B6E" w:sz="8" w:space="2"/>
        </w:pBdr>
        <w:spacing w:after="80" w:before="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3A312C"/>
          <w:sz w:val="42"/>
          <w:szCs w:val="42"/>
        </w:rPr>
        <w:t xml:space="preserve">The Challenge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B6E" w:sz="4"/>
              <w:left w:val="single" w:color="C97B6E" w:sz="16"/>
              <w:bottom w:val="single" w:color="C97B6E" w:sz="4"/>
              <w:right w:val="single" w:color="C97B6E" w:sz="4"/>
            </w:tcBorders>
            <w:shd w:fill="FAF0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A312C"/>
                <w:sz w:val="22"/>
                <w:szCs w:val="22"/>
              </w:rPr>
              <w:t xml:space="preserve">Enterprise consulting firms rely on Salesforce-based compliance intake systems that have grown over years — fields and tabs bolted on for each new regulation, never redesigned holistically. The result is a UI that reflects internal team structures rather than how users actually think.</w:t>
            </w:r>
          </w:p>
        </w:tc>
      </w:tr>
    </w:tbl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A312C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This project explores the UX logic and AI assistant design for a document-driven intake tool built on one core constraint: the Salesforce system itself cannot be changed. The solution must sit alongside the existing UI as an intelligent navigator layer.</w:t>
      </w:r>
    </w:p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The AI absorbs the complexity so the user never has to see it. By the time a user opens Salesforce to enter data, every decision has already been made and verified.</w:t>
      </w:r>
    </w:p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A312C"/>
          <w:sz w:val="22"/>
          <w:szCs w:val="22"/>
        </w:rPr>
        <w:t xml:space="preserve"/>
      </w:r>
    </w:p>
    <w:p>
      <w:pPr>
        <w:spacing w:after="80" w:before="24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3A312C"/>
          <w:sz w:val="28"/>
          <w:szCs w:val="28"/>
        </w:rPr>
        <w:t xml:space="preserve">Why this matters</w:t>
      </w:r>
    </w:p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In compliance intake, the cost of an error is not a failed form — it is a missed independence check, an unreviewed SEC disclosure, or a service category that should have triggered partner sign-off. These are legal and regulatory failures, not UX inconveniences.</w:t>
      </w:r>
    </w:p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A31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97B6E" w:sz="4"/>
              <w:left w:val="single" w:color="C97B6E" w:sz="4"/>
              <w:bottom w:val="single" w:color="C97B6E" w:sz="4"/>
              <w:right w:val="single" w:color="C97B6E" w:sz="4"/>
            </w:tcBorders>
            <w:shd w:fill="C97B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5760"/>
            <w:tcBorders>
              <w:top w:val="single" w:color="C97B6E" w:sz="4"/>
              <w:left w:val="single" w:color="C97B6E" w:sz="4"/>
              <w:bottom w:val="single" w:color="C97B6E" w:sz="4"/>
              <w:right w:val="single" w:color="C97B6E" w:sz="4"/>
            </w:tcBorders>
            <w:shd w:fill="C97B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means for UX</w:t>
            </w:r>
          </w:p>
        </w:tc>
      </w:tr>
      <w:tr>
        <w:tc>
          <w:tcPr>
            <w:tcW w:type="dxa" w:w="36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A312C"/>
                <w:sz w:val="20"/>
                <w:szCs w:val="20"/>
              </w:rPr>
              <w:t xml:space="preserve">System cannot be changed</w:t>
            </w:r>
          </w:p>
        </w:tc>
        <w:tc>
          <w:tcPr>
            <w:tcW w:type="dxa" w:w="57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The AI navigator works alongside Salesforce without touching the underlying structure</w:t>
            </w:r>
          </w:p>
        </w:tc>
      </w:tr>
      <w:tr>
        <w:tc>
          <w:tcPr>
            <w:tcW w:type="dxa" w:w="36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A312C"/>
                <w:sz w:val="20"/>
                <w:szCs w:val="20"/>
              </w:rPr>
              <w:t xml:space="preserve">High error stakes</w:t>
            </w:r>
          </w:p>
        </w:tc>
        <w:tc>
          <w:tcPr>
            <w:tcW w:type="dxa" w:w="57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Missed compliance checks carry legal and regulatory consequences</w:t>
            </w:r>
          </w:p>
        </w:tc>
      </w:tr>
      <w:tr>
        <w:tc>
          <w:tcPr>
            <w:tcW w:type="dxa" w:w="36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A312C"/>
                <w:sz w:val="20"/>
                <w:szCs w:val="20"/>
              </w:rPr>
              <w:t xml:space="preserve">Infrequent users</w:t>
            </w:r>
          </w:p>
        </w:tc>
        <w:tc>
          <w:tcPr>
            <w:tcW w:type="dxa" w:w="57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Many users encounter the intake flow rarely — no muscle memory to rely on</w:t>
            </w:r>
          </w:p>
        </w:tc>
      </w:tr>
      <w:tr>
        <w:tc>
          <w:tcPr>
            <w:tcW w:type="dxa" w:w="36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A312C"/>
                <w:sz w:val="20"/>
                <w:szCs w:val="20"/>
              </w:rPr>
              <w:t xml:space="preserve">Complex conditional logic</w:t>
            </w:r>
          </w:p>
        </w:tc>
        <w:tc>
          <w:tcPr>
            <w:tcW w:type="dxa" w:w="57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Which fields activate depends on service type, client status, and engagement size</w:t>
            </w:r>
          </w:p>
        </w:tc>
      </w:tr>
    </w:tbl>
    <w:p>
      <w:pPr>
        <w:spacing w:after="120" w:before="0"/>
        <w:jc w:val="left"/>
      </w:pPr>
      <w:r>
        <w:br/>
      </w:r>
    </w:p>
    <w:p>
      <w:pPr>
        <w:spacing w:after="80" w:before="32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C97B6E"/>
          <w:sz w:val="18"/>
          <w:szCs w:val="18"/>
        </w:rPr>
        <w:t xml:space="preserve">— </w:t>
      </w:r>
      <w:r>
        <w:rPr>
          <w:rFonts w:ascii="Georgia" w:cs="Georgia" w:eastAsia="Georgia" w:hAnsi="Georgia"/>
          <w:b/>
          <w:bCs/>
          <w:i w:val="false"/>
          <w:iCs w:val="false"/>
          <w:color w:val="C97B6E"/>
          <w:sz w:val="18"/>
          <w:szCs w:val="18"/>
        </w:rPr>
        <w:t xml:space="preserve">DOMAIN UNDERSTANDING</w:t>
      </w:r>
    </w:p>
    <w:p>
      <w:pPr>
        <w:pBdr>
          <w:bottom w:val="single" w:color="C97B6E" w:sz="8" w:space="2"/>
        </w:pBdr>
        <w:spacing w:after="80" w:before="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3A312C"/>
          <w:sz w:val="42"/>
          <w:szCs w:val="42"/>
        </w:rPr>
        <w:t xml:space="preserve">Consulting Engagement Types</w:t>
      </w:r>
    </w:p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Before designing anything, I mapped the domain. An engagement type defines what kind of work a consulting firm is hired to do. Each type carries different compliance requirements, risk levels, and service combinations.</w:t>
      </w:r>
    </w:p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A31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97B6E" w:sz="4"/>
              <w:left w:val="single" w:color="C97B6E" w:sz="4"/>
              <w:bottom w:val="single" w:color="C97B6E" w:sz="4"/>
              <w:right w:val="single" w:color="C97B6E" w:sz="4"/>
            </w:tcBorders>
            <w:shd w:fill="C97B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Engagement Type</w:t>
            </w:r>
          </w:p>
        </w:tc>
        <w:tc>
          <w:tcPr>
            <w:tcW w:type="dxa" w:w="3960"/>
            <w:tcBorders>
              <w:top w:val="single" w:color="C97B6E" w:sz="4"/>
              <w:left w:val="single" w:color="C97B6E" w:sz="4"/>
              <w:bottom w:val="single" w:color="C97B6E" w:sz="4"/>
              <w:right w:val="single" w:color="C97B6E" w:sz="4"/>
            </w:tcBorders>
            <w:shd w:fill="C97B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C97B6E" w:sz="4"/>
              <w:left w:val="single" w:color="C97B6E" w:sz="4"/>
              <w:bottom w:val="single" w:color="C97B6E" w:sz="4"/>
              <w:right w:val="single" w:color="C97B6E" w:sz="4"/>
            </w:tcBorders>
            <w:shd w:fill="C97B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Examples</w:t>
            </w:r>
          </w:p>
        </w:tc>
      </w:tr>
      <w:tr>
        <w:tc>
          <w:tcPr>
            <w:tcW w:type="dxa" w:w="24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Advisory</w:t>
            </w:r>
          </w:p>
        </w:tc>
        <w:tc>
          <w:tcPr>
            <w:tcW w:type="dxa" w:w="39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Strategic advice — firm recommends, client executes. Lower risk generally.</w:t>
            </w:r>
          </w:p>
        </w:tc>
        <w:tc>
          <w:tcPr>
            <w:tcW w:type="dxa" w:w="29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Market entry strategy, operating model design</w:t>
            </w:r>
          </w:p>
        </w:tc>
      </w:tr>
      <w:tr>
        <w:tc>
          <w:tcPr>
            <w:tcW w:type="dxa" w:w="24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9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Firm builds or deploys — accountable for delivery outcomes.</w:t>
            </w:r>
          </w:p>
        </w:tc>
        <w:tc>
          <w:tcPr>
            <w:tcW w:type="dxa" w:w="29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ERP implementation, process redesign</w:t>
            </w:r>
          </w:p>
        </w:tc>
      </w:tr>
      <w:tr>
        <w:tc>
          <w:tcPr>
            <w:tcW w:type="dxa" w:w="24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Transaction Services</w:t>
            </w:r>
          </w:p>
        </w:tc>
        <w:tc>
          <w:tcPr>
            <w:tcW w:type="dxa" w:w="39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Tied to a financial event. Highest regulatory scrutiny — often triggers SEC checks.</w:t>
            </w:r>
          </w:p>
        </w:tc>
        <w:tc>
          <w:tcPr>
            <w:tcW w:type="dxa" w:w="29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M&amp;A due diligence, IPO readiness</w:t>
            </w:r>
          </w:p>
        </w:tc>
      </w:tr>
      <w:tr>
        <w:tc>
          <w:tcPr>
            <w:tcW w:type="dxa" w:w="24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Technology &amp; Digital</w:t>
            </w:r>
          </w:p>
        </w:tc>
        <w:tc>
          <w:tcPr>
            <w:tcW w:type="dxa" w:w="39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AI, cloud, data, and cybersecurity engagements.</w:t>
            </w:r>
          </w:p>
        </w:tc>
        <w:tc>
          <w:tcPr>
            <w:tcW w:type="dxa" w:w="29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AI implementation, digital transformation</w:t>
            </w:r>
          </w:p>
        </w:tc>
      </w:tr>
      <w:tr>
        <w:tc>
          <w:tcPr>
            <w:tcW w:type="dxa" w:w="24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Tax Services</w:t>
            </w:r>
          </w:p>
        </w:tc>
        <w:tc>
          <w:tcPr>
            <w:tcW w:type="dxa" w:w="39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Separate regulatory framework from audit services.</w:t>
            </w:r>
          </w:p>
        </w:tc>
        <w:tc>
          <w:tcPr>
            <w:tcW w:type="dxa" w:w="29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Tax structuring, transfer pricing, VAT advisory</w:t>
            </w:r>
          </w:p>
        </w:tc>
      </w:tr>
      <w:tr>
        <w:tc>
          <w:tcPr>
            <w:tcW w:type="dxa" w:w="24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Assurance Adjacent</w:t>
            </w:r>
          </w:p>
        </w:tc>
        <w:tc>
          <w:tcPr>
            <w:tcW w:type="dxa" w:w="39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Independent review. Heavy independence rules — especially at Big 4.</w:t>
            </w:r>
          </w:p>
        </w:tc>
        <w:tc>
          <w:tcPr>
            <w:tcW w:type="dxa" w:w="29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Internal audit support, controls testing</w:t>
            </w:r>
          </w:p>
        </w:tc>
      </w:tr>
    </w:tbl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A312C"/>
          <w:sz w:val="22"/>
          <w:szCs w:val="22"/>
        </w:rPr>
        <w:t xml:space="preserve"/>
      </w:r>
    </w:p>
    <w:p>
      <w:pPr>
        <w:spacing w:after="80" w:before="24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3A312C"/>
          <w:sz w:val="28"/>
          <w:szCs w:val="28"/>
        </w:rPr>
        <w:t xml:space="preserve">The service and sub-service relationship</w:t>
      </w:r>
    </w:p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Within each engagement type are service lines, and within those are sub-services. A single contract can span multiple parents simultaneously. This is the core complexity the intake system tries to capture — and where most user errors occur.</w:t>
      </w:r>
    </w:p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A312C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C4BC" w:sz="4"/>
              <w:left w:val="single" w:color="E8C4BC" w:sz="16"/>
              <w:bottom w:val="single" w:color="E8C4BC" w:sz="4"/>
              <w:right w:val="single" w:color="E8C4BC" w:sz="4"/>
            </w:tcBorders>
            <w:shd w:fill="F5F0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A312C"/>
                <w:sz w:val="22"/>
                <w:szCs w:val="22"/>
              </w:rPr>
              <w:t xml:space="preserve">Example: A digital transformation engagement might need:</w:t>
            </w:r>
          </w:p>
          <w:p>
            <w:pPr>
              <w:spacing w:after="8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1"/>
                <w:szCs w:val="21"/>
              </w:rPr>
              <w:t xml:space="preserve">Advisory → Digital Strategy, Operating Model Design</w:t>
            </w:r>
          </w:p>
          <w:p>
            <w:pPr>
              <w:spacing w:after="8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1"/>
                <w:szCs w:val="21"/>
              </w:rPr>
              <w:t xml:space="preserve">Technology → AI &amp; Automation, Cloud Migration</w:t>
            </w:r>
          </w:p>
          <w:p>
            <w:pPr>
              <w:spacing w:after="8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1"/>
                <w:szCs w:val="21"/>
              </w:rPr>
              <w:t xml:space="preserve">Human Capital → Change Management, Training &amp; Adoption</w:t>
            </w:r>
          </w:p>
          <w:p>
            <w:pPr>
              <w:spacing w:after="8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1"/>
                <w:szCs w:val="21"/>
              </w:rPr>
              <w:t xml:space="preserve">Tax → Entity Restructuring, Transfer Pricing</w:t>
            </w:r>
          </w:p>
          <w:p>
            <w:pPr>
              <w:spacing w:after="8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1"/>
                <w:szCs w:val="21"/>
              </w:rPr>
              <w:t xml:space="preserve">Transaction Services → Buy-side Due Diligence</w:t>
            </w:r>
          </w:p>
          <w:p>
            <w:pPr>
              <w:spacing w:after="8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A5948C"/>
                <w:sz w:val="20"/>
                <w:szCs w:val="20"/>
              </w:rPr>
              <w:t xml:space="preserve">That is 5 parent services and 9 sub-services from a single contract — all requiring correct selection in the system.</w:t>
            </w:r>
          </w:p>
        </w:tc>
      </w:tr>
    </w:tbl>
    <w:p>
      <w:pPr>
        <w:spacing w:after="120" w:before="0"/>
        <w:jc w:val="left"/>
      </w:pPr>
      <w:r>
        <w:br/>
      </w:r>
    </w:p>
    <w:p>
      <w:pPr>
        <w:spacing w:after="80" w:before="32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C97B6E"/>
          <w:sz w:val="18"/>
          <w:szCs w:val="18"/>
        </w:rPr>
        <w:t xml:space="preserve">— </w:t>
      </w:r>
      <w:r>
        <w:rPr>
          <w:rFonts w:ascii="Georgia" w:cs="Georgia" w:eastAsia="Georgia" w:hAnsi="Georgia"/>
          <w:b/>
          <w:bCs/>
          <w:i w:val="false"/>
          <w:iCs w:val="false"/>
          <w:color w:val="C97B6E"/>
          <w:sz w:val="18"/>
          <w:szCs w:val="18"/>
        </w:rPr>
        <w:t xml:space="preserve">DESIGN PRINCIPLES</w:t>
      </w:r>
    </w:p>
    <w:p>
      <w:pPr>
        <w:pBdr>
          <w:bottom w:val="single" w:color="C97B6E" w:sz="8" w:space="2"/>
        </w:pBdr>
        <w:spacing w:after="80" w:before="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3A312C"/>
          <w:sz w:val="42"/>
          <w:szCs w:val="42"/>
        </w:rPr>
        <w:t xml:space="preserve">Four Principles That Guided Every Decision</w:t>
      </w:r>
    </w:p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A31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7B6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360"/>
            <w:tcBorders>
              <w:top w:val="single" w:color="E8E0D8" w:sz="4"/>
              <w:left w:val="none" w:color="FFFFFF" w:sz="0"/>
              <w:bottom w:val="single" w:color="E8E0D8" w:sz="4"/>
              <w:right w:val="none" w:color="FFFFFF" w:sz="0"/>
            </w:tcBorders>
            <w:shd w:fill="F5F0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A312C"/>
                <w:sz w:val="22"/>
                <w:szCs w:val="22"/>
              </w:rPr>
              <w:t xml:space="preserve">Construction → Confirmation</w:t>
            </w:r>
          </w:p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1"/>
                <w:szCs w:val="21"/>
              </w:rPr>
              <w:t xml:space="preserve">The user's job is to verify what the AI suggests, not build selections from scratch. Cognitive load shifts to the system.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7B6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360"/>
            <w:tcBorders>
              <w:top w:val="single" w:color="E8E0D8" w:sz="4"/>
              <w:left w:val="none" w:color="FFFFFF" w:sz="0"/>
              <w:bottom w:val="single" w:color="E8E0D8" w:sz="4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A312C"/>
                <w:sz w:val="22"/>
                <w:szCs w:val="22"/>
              </w:rPr>
              <w:t xml:space="preserve">Alerts earn their place</w:t>
            </w:r>
          </w:p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1"/>
                <w:szCs w:val="21"/>
              </w:rPr>
              <w:t xml:space="preserve">Every alert must have a severity level, a reason, and a next action. An alert with no next action is just noise.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7B6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360"/>
            <w:tcBorders>
              <w:top w:val="single" w:color="E8E0D8" w:sz="4"/>
              <w:left w:val="none" w:color="FFFFFF" w:sz="0"/>
              <w:bottom w:val="single" w:color="E8E0D8" w:sz="4"/>
              <w:right w:val="none" w:color="FFFFFF" w:sz="0"/>
            </w:tcBorders>
            <w:shd w:fill="F5F0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A312C"/>
                <w:sz w:val="22"/>
                <w:szCs w:val="22"/>
              </w:rPr>
              <w:t xml:space="preserve">The system holds the memory</w:t>
            </w:r>
          </w:p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1"/>
                <w:szCs w:val="21"/>
              </w:rPr>
              <w:t xml:space="preserve">Users should never need to remember where they left off. Every return surfaces context automatically.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7B6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360"/>
            <w:tcBorders>
              <w:top w:val="single" w:color="E8E0D8" w:sz="4"/>
              <w:left w:val="none" w:color="FFFFFF" w:sz="0"/>
              <w:bottom w:val="single" w:color="E8E0D8" w:sz="4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A312C"/>
                <w:sz w:val="22"/>
                <w:szCs w:val="22"/>
              </w:rPr>
              <w:t xml:space="preserve">Thinking vs. Recording</w:t>
            </w:r>
          </w:p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1"/>
                <w:szCs w:val="21"/>
              </w:rPr>
              <w:t xml:space="preserve">The assistant does the reasoning. Salesforce does the recording. They never duplicate each other.</w:t>
            </w:r>
          </w:p>
        </w:tc>
      </w:tr>
    </w:tbl>
    <w:p>
      <w:pPr>
        <w:spacing w:after="120" w:before="0"/>
        <w:jc w:val="left"/>
      </w:pPr>
      <w:r>
        <w:br/>
      </w:r>
    </w:p>
    <w:p>
      <w:pPr>
        <w:spacing w:after="80" w:before="32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C97B6E"/>
          <w:sz w:val="18"/>
          <w:szCs w:val="18"/>
        </w:rPr>
        <w:t xml:space="preserve">— </w:t>
      </w:r>
      <w:r>
        <w:rPr>
          <w:rFonts w:ascii="Georgia" w:cs="Georgia" w:eastAsia="Georgia" w:hAnsi="Georgia"/>
          <w:b/>
          <w:bCs/>
          <w:i w:val="false"/>
          <w:iCs w:val="false"/>
          <w:color w:val="C97B6E"/>
          <w:sz w:val="18"/>
          <w:szCs w:val="18"/>
        </w:rPr>
        <w:t xml:space="preserve">THE SOLUTION</w:t>
      </w:r>
    </w:p>
    <w:p>
      <w:pPr>
        <w:pBdr>
          <w:bottom w:val="single" w:color="C97B6E" w:sz="8" w:space="2"/>
        </w:pBdr>
        <w:spacing w:after="80" w:before="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3A312C"/>
          <w:sz w:val="42"/>
          <w:szCs w:val="42"/>
        </w:rPr>
        <w:t xml:space="preserve">A Three-Phase AI Navigator</w:t>
      </w:r>
    </w:p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The solution is structured as three sequential gates. No phase begins until the previous one is fully resolved. This structure means errors are caught at the earliest possible moment — before they compound.</w:t>
      </w:r>
    </w:p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A312C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B6E" w:sz="4"/>
              <w:left w:val="single" w:color="C97B6E" w:sz="16"/>
              <w:bottom w:val="single" w:color="C97B6E" w:sz="4"/>
              <w:right w:val="single" w:color="C97B6E" w:sz="4"/>
            </w:tcBorders>
            <w:shd w:fill="FAF0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97B6E"/>
                <w:sz w:val="22"/>
                <w:szCs w:val="22"/>
              </w:rPr>
              <w:t xml:space="preserve">Phase 1 — Pre-flight check  →  Phase 2 — Document validation  →  Phase 3 — Service classification</w:t>
            </w:r>
          </w:p>
        </w:tc>
      </w:tr>
    </w:tbl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A312C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A312C"/>
          <w:sz w:val="22"/>
          <w:szCs w:val="22"/>
        </w:rPr>
        <w:t xml:space="preserve"/>
      </w:r>
    </w:p>
    <w:p>
      <w:pPr>
        <w:spacing w:after="80" w:before="24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3A312C"/>
          <w:sz w:val="28"/>
          <w:szCs w:val="28"/>
        </w:rPr>
        <w:t xml:space="preserve">Phase 1 — Delivery Date Check</w:t>
      </w:r>
    </w:p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The delivery start date is pre-entered in Salesforce. The AI reads it on session load and calculates days remaining. Two thresholds trigger different responses — because a hard stop two days before delivery needs a very different UX to a soft advisory seven days out.</w:t>
      </w:r>
    </w:p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A31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97B6E" w:sz="4"/>
              <w:left w:val="single" w:color="C97B6E" w:sz="4"/>
              <w:bottom w:val="single" w:color="C97B6E" w:sz="4"/>
              <w:right w:val="single" w:color="C97B6E" w:sz="4"/>
            </w:tcBorders>
            <w:shd w:fill="C97B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Threshold</w:t>
            </w:r>
          </w:p>
        </w:tc>
        <w:tc>
          <w:tcPr>
            <w:tcW w:type="dxa" w:w="7360"/>
            <w:tcBorders>
              <w:top w:val="single" w:color="C97B6E" w:sz="4"/>
              <w:left w:val="single" w:color="C97B6E" w:sz="4"/>
              <w:bottom w:val="single" w:color="C97B6E" w:sz="4"/>
              <w:right w:val="single" w:color="C97B6E" w:sz="4"/>
            </w:tcBorders>
            <w:shd w:fill="C97B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System response</w:t>
            </w:r>
          </w:p>
        </w:tc>
      </w:tr>
      <w:tr>
        <w:tc>
          <w:tcPr>
            <w:tcW w:type="dxa" w:w="2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A312C"/>
                <w:sz w:val="20"/>
                <w:szCs w:val="20"/>
              </w:rPr>
              <w:t xml:space="preserve">Under 3 days</w:t>
            </w:r>
          </w:p>
        </w:tc>
        <w:tc>
          <w:tcPr>
            <w:tcW w:type="dxa" w:w="7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HARD BLOCK — floating alert anchored to the date field + assistant message in chat. User cannot proceed without explicitly acknowledging. Compliance review cannot realistically complete in this window.</w:t>
            </w:r>
          </w:p>
        </w:tc>
      </w:tr>
      <w:tr>
        <w:tc>
          <w:tcPr>
            <w:tcW w:type="dxa" w:w="2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A312C"/>
                <w:sz w:val="20"/>
                <w:szCs w:val="20"/>
              </w:rPr>
              <w:t xml:space="preserve">3 to 7 days</w:t>
            </w:r>
          </w:p>
        </w:tc>
        <w:tc>
          <w:tcPr>
            <w:tcW w:type="dxa" w:w="7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AMBER WARNING — soft alert in the assistant. Does not block progression but persists throughout the session as a visible reminder.</w:t>
            </w:r>
          </w:p>
        </w:tc>
      </w:tr>
      <w:tr>
        <w:tc>
          <w:tcPr>
            <w:tcW w:type="dxa" w:w="2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A312C"/>
                <w:sz w:val="20"/>
                <w:szCs w:val="20"/>
              </w:rPr>
              <w:t xml:space="preserve">Over 7 days</w:t>
            </w:r>
          </w:p>
        </w:tc>
        <w:tc>
          <w:tcPr>
            <w:tcW w:type="dxa" w:w="7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No alert. Session proceeds normally.</w:t>
            </w:r>
          </w:p>
        </w:tc>
      </w:tr>
    </w:tbl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A312C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56820" w:sz="4"/>
              <w:left w:val="single" w:color="A56820" w:sz="16"/>
              <w:bottom w:val="single" w:color="A56820" w:sz="4"/>
              <w:right w:val="single" w:color="A56820" w:sz="4"/>
            </w:tcBorders>
            <w:shd w:fill="FAF3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A312C"/>
                <w:sz w:val="22"/>
                <w:szCs w:val="22"/>
              </w:rPr>
              <w:t xml:space="preserve">User story — Sarah opens an engagement intake. She does not notice that her manager pre-entered a delivery start date for the day after tomorrow.</w:t>
            </w:r>
          </w:p>
          <w:p>
            <w:pPr>
              <w:spacing w:after="8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6B5C54"/>
                <w:sz w:val="22"/>
                <w:szCs w:val="22"/>
              </w:rPr>
              <w:t xml:space="preserve">As soon as the assistant loads, a floating amber panel appears anchored to the date field: "Delivery starts in 2 days — compliance review requires minimum 3 days." Simultaneously the assistant says: "I can see your delivery start date is very close. Do you want to proceed with caution or pause and notify your manager?"</w:t>
            </w:r>
          </w:p>
          <w:p>
            <w:pPr>
              <w:spacing w:after="8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A5948C"/>
                <w:sz w:val="22"/>
                <w:szCs w:val="22"/>
              </w:rPr>
              <w:t xml:space="preserve">Sarah chooses pause. The session saves automatically with the reason captured. A pre-drafted message is prepared for her manager.</w:t>
            </w:r>
          </w:p>
        </w:tc>
      </w:tr>
    </w:tbl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A312C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A312C"/>
          <w:sz w:val="22"/>
          <w:szCs w:val="22"/>
        </w:rPr>
        <w:t xml:space="preserve"/>
      </w:r>
    </w:p>
    <w:p>
      <w:pPr>
        <w:spacing w:after="80" w:before="24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3A312C"/>
          <w:sz w:val="28"/>
          <w:szCs w:val="28"/>
        </w:rPr>
        <w:t xml:space="preserve">Phase 2 — Document Validation</w:t>
      </w:r>
    </w:p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The AI reads whatever is uploaded and treats it as the source of truth. In a real consulting environment, many document types circulate — drafts, proposals, old contracts, amendments. Classifying from the wrong document populates the intake with services that were never formally agreed.</w:t>
      </w:r>
    </w:p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The user declares document type before upload completes. This primes them to think critically about what they are submitting — and sets the confidence level for all subsequent AI suggestions.</w:t>
      </w:r>
    </w:p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A312C"/>
          <w:sz w:val="22"/>
          <w:szCs w:val="22"/>
        </w:rPr>
        <w:t xml:space="preserve"/>
      </w:r>
    </w:p>
    <w:p>
      <w:pPr>
        <w:spacing w:after="60" w:before="1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C97B6E"/>
          <w:sz w:val="22"/>
          <w:szCs w:val="22"/>
        </w:rPr>
        <w:t xml:space="preserve">The six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80"/>
        <w:gridCol w:w="3680"/>
      </w:tblGrid>
      <w:tr>
        <w:trPr>
          <w:tblHeader/>
        </w:trPr>
        <w:tc>
          <w:tcPr>
            <w:tcW w:type="dxa" w:w="2400"/>
            <w:tcBorders>
              <w:top w:val="single" w:color="C97B6E" w:sz="4"/>
              <w:left w:val="single" w:color="C97B6E" w:sz="4"/>
              <w:bottom w:val="single" w:color="C97B6E" w:sz="4"/>
              <w:right w:val="single" w:color="C97B6E" w:sz="4"/>
            </w:tcBorders>
            <w:shd w:fill="C97B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Edge Case</w:t>
            </w:r>
          </w:p>
        </w:tc>
        <w:tc>
          <w:tcPr>
            <w:tcW w:type="dxa" w:w="3280"/>
            <w:tcBorders>
              <w:top w:val="single" w:color="C97B6E" w:sz="4"/>
              <w:left w:val="single" w:color="C97B6E" w:sz="4"/>
              <w:bottom w:val="single" w:color="C97B6E" w:sz="4"/>
              <w:right w:val="single" w:color="C97B6E" w:sz="4"/>
            </w:tcBorders>
            <w:shd w:fill="C97B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the AI detects</w:t>
            </w:r>
          </w:p>
        </w:tc>
        <w:tc>
          <w:tcPr>
            <w:tcW w:type="dxa" w:w="3680"/>
            <w:tcBorders>
              <w:top w:val="single" w:color="C97B6E" w:sz="4"/>
              <w:left w:val="single" w:color="C97B6E" w:sz="4"/>
              <w:bottom w:val="single" w:color="C97B6E" w:sz="4"/>
              <w:right w:val="single" w:color="C97B6E" w:sz="4"/>
            </w:tcBorders>
            <w:shd w:fill="C97B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UX response</w:t>
            </w:r>
          </w:p>
        </w:tc>
      </w:tr>
      <w:tr>
        <w:tc>
          <w:tcPr>
            <w:tcW w:type="dxa" w:w="24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A312C"/>
                <w:sz w:val="20"/>
                <w:szCs w:val="20"/>
              </w:rPr>
              <w:t xml:space="preserve">Wrong document type</w:t>
            </w:r>
          </w:p>
        </w:tc>
        <w:tc>
          <w:tcPr>
            <w:tcW w:type="dxa" w:w="328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Fewer than 2 official signals (no signature block, no contract number, no effective date)</w:t>
            </w:r>
          </w:p>
        </w:tc>
        <w:tc>
          <w:tcPr>
            <w:tcW w:type="dxa" w:w="368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Warning in assistant + force document type declaration. Draft path = low confidence classification.</w:t>
            </w:r>
          </w:p>
        </w:tc>
      </w:tr>
      <w:tr>
        <w:tc>
          <w:tcPr>
            <w:tcW w:type="dxa" w:w="24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A312C"/>
                <w:sz w:val="20"/>
                <w:szCs w:val="20"/>
              </w:rPr>
              <w:t xml:space="preserve">Multiple documents uploaded</w:t>
            </w:r>
          </w:p>
        </w:tc>
        <w:tc>
          <w:tcPr>
            <w:tcW w:type="dxa" w:w="328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Overlapping services but different dates across files</w:t>
            </w:r>
          </w:p>
        </w:tc>
        <w:tc>
          <w:tcPr>
            <w:tcW w:type="dxa" w:w="368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Assistant surfaces both document names and dates. User designates the governing document.</w:t>
            </w:r>
          </w:p>
        </w:tc>
      </w:tr>
      <w:tr>
        <w:tc>
          <w:tcPr>
            <w:tcW w:type="dxa" w:w="24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A312C"/>
                <w:sz w:val="20"/>
                <w:szCs w:val="20"/>
              </w:rPr>
              <w:t xml:space="preserve">Filename mismatch</w:t>
            </w:r>
          </w:p>
        </w:tc>
        <w:tc>
          <w:tcPr>
            <w:tcW w:type="dxa" w:w="328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Filename contains 'draft', 'v1', 'proposal', or 'internal'</w:t>
            </w:r>
          </w:p>
        </w:tc>
        <w:tc>
          <w:tcPr>
            <w:tcW w:type="dxa" w:w="368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Inline warning near filename — subtle, does not interrupt flow. Chat reserved for decisions.</w:t>
            </w:r>
          </w:p>
        </w:tc>
      </w:tr>
      <w:tr>
        <w:tc>
          <w:tcPr>
            <w:tcW w:type="dxa" w:w="24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A312C"/>
                <w:sz w:val="20"/>
                <w:szCs w:val="20"/>
              </w:rPr>
              <w:t xml:space="preserve">Client name mismatch</w:t>
            </w:r>
          </w:p>
        </w:tc>
        <w:tc>
          <w:tcPr>
            <w:tcW w:type="dxa" w:w="328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Entity in document differs from Salesforce engagement record</w:t>
            </w:r>
          </w:p>
        </w:tc>
        <w:tc>
          <w:tcPr>
            <w:tcW w:type="dxa" w:w="368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HARD BLOCK modal — shows both names side by side. User must confirm same entity or re-upload.</w:t>
            </w:r>
          </w:p>
        </w:tc>
      </w:tr>
      <w:tr>
        <w:tc>
          <w:tcPr>
            <w:tcW w:type="dxa" w:w="24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A312C"/>
                <w:sz w:val="20"/>
                <w:szCs w:val="20"/>
              </w:rPr>
              <w:t xml:space="preserve">Expired contract</w:t>
            </w:r>
          </w:p>
        </w:tc>
        <w:tc>
          <w:tcPr>
            <w:tcW w:type="dxa" w:w="328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Contract end date has passed or document is over 12 months old</w:t>
            </w:r>
          </w:p>
        </w:tc>
        <w:tc>
          <w:tcPr>
            <w:tcW w:type="dxa" w:w="368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Expired: hard block. Over 12 months: soft warning requiring confirmation.</w:t>
            </w:r>
          </w:p>
        </w:tc>
      </w:tr>
      <w:tr>
        <w:tc>
          <w:tcPr>
            <w:tcW w:type="dxa" w:w="24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A312C"/>
                <w:sz w:val="20"/>
                <w:szCs w:val="20"/>
              </w:rPr>
              <w:t xml:space="preserve">Amendment without original</w:t>
            </w:r>
          </w:p>
        </w:tc>
        <w:tc>
          <w:tcPr>
            <w:tcW w:type="dxa" w:w="328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Document contains amendment language without original in session</w:t>
            </w:r>
          </w:p>
        </w:tc>
        <w:tc>
          <w:tcPr>
            <w:tcW w:type="dxa" w:w="368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Assistant requests original. User can skip but classification is marked as incomplete.</w:t>
            </w:r>
          </w:p>
        </w:tc>
      </w:tr>
    </w:tbl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A312C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A312C"/>
          <w:sz w:val="22"/>
          <w:szCs w:val="22"/>
        </w:rPr>
        <w:t xml:space="preserve"/>
      </w:r>
    </w:p>
    <w:p>
      <w:pPr>
        <w:spacing w:after="80" w:before="24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3A312C"/>
          <w:sz w:val="28"/>
          <w:szCs w:val="28"/>
        </w:rPr>
        <w:t xml:space="preserve">Phase 3 — Service Classification</w:t>
      </w:r>
    </w:p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Once the document passes validation, the AI reads the full contract and maps content to service parents and sub-services. The user's job shifts from construction to confirmation — the most important UX shift in the entire system.</w:t>
      </w:r>
    </w:p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A312C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B6E" w:sz="4"/>
              <w:left w:val="single" w:color="C97B6E" w:sz="16"/>
              <w:bottom w:val="single" w:color="C97B6E" w:sz="4"/>
              <w:right w:val="single" w:color="C97B6E" w:sz="4"/>
            </w:tcBorders>
            <w:shd w:fill="FAF0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97B6E"/>
                <w:sz w:val="21"/>
                <w:szCs w:val="21"/>
              </w:rPr>
              <w:t xml:space="preserve">Upload contract  →  AI extracts intent  →  Suggests service + sub-service combinations  →  User confirms or adjusts  →  Compliance flags surface  →  Submission prepared</w:t>
            </w:r>
          </w:p>
        </w:tc>
      </w:tr>
    </w:tbl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A312C"/>
          <w:sz w:val="22"/>
          <w:szCs w:val="22"/>
        </w:rPr>
        <w:t xml:space="preserve"/>
      </w:r>
    </w:p>
    <w:p>
      <w:pPr>
        <w:spacing w:after="60" w:before="1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C97B6E"/>
          <w:sz w:val="22"/>
          <w:szCs w:val="22"/>
        </w:rPr>
        <w:t xml:space="preserve">Solving the congestion problem</w:t>
      </w:r>
    </w:p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A contract touching five service areas each with ten sub-services would produce a list of 50+ suggestions at once — no better than the original system. Progressive disclosure presents information in layers:</w:t>
      </w:r>
    </w:p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A31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97B6E" w:sz="4"/>
              <w:left w:val="single" w:color="C97B6E" w:sz="4"/>
              <w:bottom w:val="single" w:color="C97B6E" w:sz="4"/>
              <w:right w:val="single" w:color="C97B6E" w:sz="4"/>
            </w:tcBorders>
            <w:shd w:fill="C97B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 1</w:t>
            </w:r>
          </w:p>
        </w:tc>
        <w:tc>
          <w:tcPr>
            <w:tcW w:type="dxa" w:w="81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1"/>
                <w:szCs w:val="21"/>
              </w:rPr>
              <w:t xml:space="preserve">Summary card: 5 service areas · 10 sub-services · 3 compliance flags. User sees scale before detail.</w:t>
            </w:r>
          </w:p>
        </w:tc>
      </w:tr>
      <w:tr>
        <w:tc>
          <w:tcPr>
            <w:tcW w:type="dxa" w:w="1200"/>
            <w:tcBorders>
              <w:top w:val="single" w:color="C97B6E" w:sz="4"/>
              <w:left w:val="single" w:color="C97B6E" w:sz="4"/>
              <w:bottom w:val="single" w:color="C97B6E" w:sz="4"/>
              <w:right w:val="single" w:color="C97B6E" w:sz="4"/>
            </w:tcBorders>
            <w:shd w:fill="C97B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 2</w:t>
            </w:r>
          </w:p>
        </w:tc>
        <w:tc>
          <w:tcPr>
            <w:tcW w:type="dxa" w:w="81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1"/>
                <w:szCs w:val="21"/>
              </w:rPr>
              <w:t xml:space="preserve">High confidence selections expanded by default — services clearly detected in contract language.</w:t>
            </w:r>
          </w:p>
        </w:tc>
      </w:tr>
      <w:tr>
        <w:tc>
          <w:tcPr>
            <w:tcW w:type="dxa" w:w="1200"/>
            <w:tcBorders>
              <w:top w:val="single" w:color="C97B6E" w:sz="4"/>
              <w:left w:val="single" w:color="C97B6E" w:sz="4"/>
              <w:bottom w:val="single" w:color="C97B6E" w:sz="4"/>
              <w:right w:val="single" w:color="C97B6E" w:sz="4"/>
            </w:tcBorders>
            <w:shd w:fill="C97B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 3</w:t>
            </w:r>
          </w:p>
        </w:tc>
        <w:tc>
          <w:tcPr>
            <w:tcW w:type="dxa" w:w="81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1"/>
                <w:szCs w:val="21"/>
              </w:rPr>
              <w:t xml:space="preserve">Additional suggestions collapsed behind 'show more' — services inferred from context.</w:t>
            </w:r>
          </w:p>
        </w:tc>
      </w:tr>
      <w:tr>
        <w:tc>
          <w:tcPr>
            <w:tcW w:type="dxa" w:w="1200"/>
            <w:tcBorders>
              <w:top w:val="single" w:color="C97B6E" w:sz="4"/>
              <w:left w:val="single" w:color="C97B6E" w:sz="4"/>
              <w:bottom w:val="single" w:color="C97B6E" w:sz="4"/>
              <w:right w:val="single" w:color="C97B6E" w:sz="4"/>
            </w:tcBorders>
            <w:shd w:fill="C97B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 4</w:t>
            </w:r>
          </w:p>
        </w:tc>
        <w:tc>
          <w:tcPr>
            <w:tcW w:type="dxa" w:w="81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1"/>
                <w:szCs w:val="21"/>
              </w:rPr>
              <w:t xml:space="preserve">Compliance flags always visible but visually separated from service selections.</w:t>
            </w:r>
          </w:p>
        </w:tc>
      </w:tr>
    </w:tbl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A312C"/>
          <w:sz w:val="22"/>
          <w:szCs w:val="22"/>
        </w:rPr>
        <w:t xml:space="preserve"/>
      </w:r>
    </w:p>
    <w:p>
      <w:pPr>
        <w:spacing w:after="60" w:before="1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C97B6E"/>
          <w:sz w:val="22"/>
          <w:szCs w:val="22"/>
        </w:rPr>
        <w:t xml:space="preserve">The more-rather-than-less principle</w:t>
      </w:r>
    </w:p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The AI is configured to favour recall over precision. In compliance, omission is more costly than over-suggestion. Lower confidence suggestions are clearly marked so users know which ones need more scrutiny. A suggestion that gets deselected costs the user two seconds. A missed compliance category can cost the firm far more.</w:t>
      </w:r>
    </w:p>
    <w:p>
      <w:pPr>
        <w:spacing w:after="120" w:before="0"/>
        <w:jc w:val="left"/>
      </w:pPr>
      <w:r>
        <w:br/>
      </w:r>
    </w:p>
    <w:p>
      <w:pPr>
        <w:spacing w:after="80" w:before="32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C97B6E"/>
          <w:sz w:val="18"/>
          <w:szCs w:val="18"/>
        </w:rPr>
        <w:t xml:space="preserve">— </w:t>
      </w:r>
      <w:r>
        <w:rPr>
          <w:rFonts w:ascii="Georgia" w:cs="Georgia" w:eastAsia="Georgia" w:hAnsi="Georgia"/>
          <w:b/>
          <w:bCs/>
          <w:i w:val="false"/>
          <w:iCs w:val="false"/>
          <w:color w:val="C97B6E"/>
          <w:sz w:val="18"/>
          <w:szCs w:val="18"/>
        </w:rPr>
        <w:t xml:space="preserve">ALERT HIERARCHY</w:t>
      </w:r>
    </w:p>
    <w:p>
      <w:pPr>
        <w:pBdr>
          <w:bottom w:val="single" w:color="C97B6E" w:sz="8" w:space="2"/>
        </w:pBdr>
        <w:spacing w:after="80" w:before="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3A312C"/>
          <w:sz w:val="42"/>
          <w:szCs w:val="42"/>
        </w:rPr>
        <w:t xml:space="preserve">Four Levels. Each Earned.</w:t>
      </w:r>
    </w:p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Not all alerts should feel equal. The visual language teaches users which alerts require action and which are awareness only — reducing fatigue and building trust in the system over time.</w:t>
      </w:r>
    </w:p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A31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00"/>
        <w:gridCol w:w="3000"/>
        <w:gridCol w:w="2920"/>
      </w:tblGrid>
      <w:tr>
        <w:trPr>
          <w:tblHeader/>
        </w:trPr>
        <w:tc>
          <w:tcPr>
            <w:tcW w:type="dxa" w:w="1440"/>
            <w:tcBorders>
              <w:top w:val="single" w:color="C97B6E" w:sz="4"/>
              <w:left w:val="single" w:color="C97B6E" w:sz="4"/>
              <w:bottom w:val="single" w:color="C97B6E" w:sz="4"/>
              <w:right w:val="single" w:color="C97B6E" w:sz="4"/>
            </w:tcBorders>
            <w:shd w:fill="C97B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C97B6E" w:sz="4"/>
              <w:left w:val="single" w:color="C97B6E" w:sz="4"/>
              <w:bottom w:val="single" w:color="C97B6E" w:sz="4"/>
              <w:right w:val="single" w:color="C97B6E" w:sz="4"/>
            </w:tcBorders>
            <w:shd w:fill="C97B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3000"/>
            <w:tcBorders>
              <w:top w:val="single" w:color="C97B6E" w:sz="4"/>
              <w:left w:val="single" w:color="C97B6E" w:sz="4"/>
              <w:bottom w:val="single" w:color="C97B6E" w:sz="4"/>
              <w:right w:val="single" w:color="C97B6E" w:sz="4"/>
            </w:tcBorders>
            <w:shd w:fill="C97B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Behaviour</w:t>
            </w:r>
          </w:p>
        </w:tc>
        <w:tc>
          <w:tcPr>
            <w:tcW w:type="dxa" w:w="2920"/>
            <w:tcBorders>
              <w:top w:val="single" w:color="C97B6E" w:sz="4"/>
              <w:left w:val="single" w:color="C97B6E" w:sz="4"/>
              <w:bottom w:val="single" w:color="C97B6E" w:sz="4"/>
              <w:right w:val="single" w:color="C97B6E" w:sz="4"/>
            </w:tcBorders>
            <w:shd w:fill="C97B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Design rationale</w:t>
            </w:r>
          </w:p>
        </w:tc>
      </w:tr>
      <w:tr>
        <w:tc>
          <w:tcPr>
            <w:tcW w:type="dxa" w:w="144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B84040"/>
                <w:sz w:val="20"/>
                <w:szCs w:val="20"/>
              </w:rPr>
              <w:t xml:space="preserve">Hard block</w:t>
            </w:r>
          </w:p>
        </w:tc>
        <w:tc>
          <w:tcPr>
            <w:tcW w:type="dxa" w:w="2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Client mismatch, expired contract, &lt;3 days</w:t>
            </w:r>
          </w:p>
        </w:tc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Red, centre screen, cannot dismiss without resolving</w:t>
            </w:r>
          </w:p>
        </w:tc>
        <w:tc>
          <w:tcPr>
            <w:tcW w:type="dxa" w:w="292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Omission errors in compliance are more costly than stopping the flow</w:t>
            </w:r>
          </w:p>
        </w:tc>
      </w:tr>
      <w:tr>
        <w:tc>
          <w:tcPr>
            <w:tcW w:type="dxa" w:w="144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A56820"/>
                <w:sz w:val="20"/>
                <w:szCs w:val="20"/>
              </w:rPr>
              <w:t xml:space="preserve">Soft block</w:t>
            </w:r>
          </w:p>
        </w:tc>
        <w:tc>
          <w:tcPr>
            <w:tcW w:type="dxa" w:w="2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Draft document, amendment without original</w:t>
            </w:r>
          </w:p>
        </w:tc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Amber, can proceed only with explicit acknowledgement</w:t>
            </w:r>
          </w:p>
        </w:tc>
        <w:tc>
          <w:tcPr>
            <w:tcW w:type="dxa" w:w="292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User retains agency but the decision is logged</w:t>
            </w:r>
          </w:p>
        </w:tc>
      </w:tr>
      <w:tr>
        <w:tc>
          <w:tcPr>
            <w:tcW w:type="dxa" w:w="144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B6B20"/>
                <w:sz w:val="20"/>
                <w:szCs w:val="20"/>
              </w:rPr>
              <w:t xml:space="preserve">Warning</w:t>
            </w:r>
          </w:p>
        </w:tc>
        <w:tc>
          <w:tcPr>
            <w:tcW w:type="dxa" w:w="2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Old document, filename mismatch, 3–7 days</w:t>
            </w:r>
          </w:p>
        </w:tc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Yellow, informational, no action required</w:t>
            </w:r>
          </w:p>
        </w:tc>
        <w:tc>
          <w:tcPr>
            <w:tcW w:type="dxa" w:w="292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Keeps user aware without interrupting the current task</w:t>
            </w:r>
          </w:p>
        </w:tc>
      </w:tr>
      <w:tr>
        <w:tc>
          <w:tcPr>
            <w:tcW w:type="dxa" w:w="144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B5FA0"/>
                <w:sz w:val="20"/>
                <w:szCs w:val="20"/>
              </w:rPr>
              <w:t xml:space="preserve">Info</w:t>
            </w:r>
          </w:p>
        </w:tc>
        <w:tc>
          <w:tcPr>
            <w:tcW w:type="dxa" w:w="2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Low confidence suggestions</w:t>
            </w:r>
          </w:p>
        </w:tc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Blue, visible but not alarming</w:t>
            </w:r>
          </w:p>
        </w:tc>
        <w:tc>
          <w:tcPr>
            <w:tcW w:type="dxa" w:w="292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Signals uncertainty without triggering anxiety or dismissal</w:t>
            </w:r>
          </w:p>
        </w:tc>
      </w:tr>
    </w:tbl>
    <w:p>
      <w:pPr>
        <w:spacing w:after="120" w:before="0"/>
        <w:jc w:val="left"/>
      </w:pPr>
      <w:r>
        <w:br/>
      </w:r>
    </w:p>
    <w:p>
      <w:pPr>
        <w:spacing w:after="80" w:before="32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C97B6E"/>
          <w:sz w:val="18"/>
          <w:szCs w:val="18"/>
        </w:rPr>
        <w:t xml:space="preserve">— </w:t>
      </w:r>
      <w:r>
        <w:rPr>
          <w:rFonts w:ascii="Georgia" w:cs="Georgia" w:eastAsia="Georgia" w:hAnsi="Georgia"/>
          <w:b/>
          <w:bCs/>
          <w:i w:val="false"/>
          <w:iCs w:val="false"/>
          <w:color w:val="C97B6E"/>
          <w:sz w:val="18"/>
          <w:szCs w:val="18"/>
        </w:rPr>
        <w:t xml:space="preserve">SESSION CONTINUITY</w:t>
      </w:r>
    </w:p>
    <w:p>
      <w:pPr>
        <w:pBdr>
          <w:bottom w:val="single" w:color="C97B6E" w:sz="8" w:space="2"/>
        </w:pBdr>
        <w:spacing w:after="80" w:before="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3A312C"/>
          <w:sz w:val="42"/>
          <w:szCs w:val="42"/>
        </w:rPr>
        <w:t xml:space="preserve">The System Holds the Memory</w:t>
      </w:r>
    </w:p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Compliance intake is rarely completed in one sitting. Users get interrupted, need approvals, wait for documents, or hit a blocker requiring someone else. Most systems save progress but give no context on return — forcing users to remember why they stopped and what comes next.</w:t>
      </w:r>
    </w:p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A312C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D6B4A" w:sz="4"/>
              <w:left w:val="single" w:color="3D6B4A" w:sz="16"/>
              <w:bottom w:val="single" w:color="3D6B4A" w:sz="4"/>
              <w:right w:val="single" w:color="3D6B4A" w:sz="4"/>
            </w:tcBorders>
            <w:shd w:fill="ED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A312C"/>
                <w:sz w:val="22"/>
                <w:szCs w:val="22"/>
              </w:rPr>
              <w:t xml:space="preserve">Design principle: The user should never have to remember anything. Every return surfaces where they are, why they stopped, what they need next, and how urgent it is.</w:t>
            </w:r>
          </w:p>
        </w:tc>
      </w:tr>
    </w:tbl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A312C"/>
          <w:sz w:val="22"/>
          <w:szCs w:val="22"/>
        </w:rPr>
        <w:t xml:space="preserve"/>
      </w:r>
    </w:p>
    <w:p>
      <w:pPr>
        <w:spacing w:after="80" w:before="24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3A312C"/>
          <w:sz w:val="28"/>
          <w:szCs w:val="28"/>
        </w:rPr>
        <w:t xml:space="preserve">The four session state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97B6E" w:sz="4"/>
              <w:left w:val="single" w:color="C97B6E" w:sz="4"/>
              <w:bottom w:val="single" w:color="C97B6E" w:sz="4"/>
              <w:right w:val="single" w:color="C97B6E" w:sz="4"/>
            </w:tcBorders>
            <w:shd w:fill="C97B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6960"/>
            <w:tcBorders>
              <w:top w:val="single" w:color="C97B6E" w:sz="4"/>
              <w:left w:val="single" w:color="C97B6E" w:sz="4"/>
              <w:bottom w:val="single" w:color="C97B6E" w:sz="4"/>
              <w:right w:val="single" w:color="C97B6E" w:sz="4"/>
            </w:tcBorders>
            <w:shd w:fill="C97B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captures</w:t>
            </w:r>
          </w:p>
        </w:tc>
      </w:tr>
      <w:tr>
        <w:tc>
          <w:tcPr>
            <w:tcW w:type="dxa" w:w="24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A312C"/>
                <w:sz w:val="20"/>
                <w:szCs w:val="20"/>
              </w:rPr>
              <w:t xml:space="preserve">Progress</w:t>
            </w:r>
          </w:p>
        </w:tc>
        <w:tc>
          <w:tcPr>
            <w:tcW w:type="dxa" w:w="69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How far through the five-stage flow the user has reached</w:t>
            </w:r>
          </w:p>
        </w:tc>
      </w:tr>
      <w:tr>
        <w:tc>
          <w:tcPr>
            <w:tcW w:type="dxa" w:w="24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A312C"/>
                <w:sz w:val="20"/>
                <w:szCs w:val="20"/>
              </w:rPr>
              <w:t xml:space="preserve">Reason for pause</w:t>
            </w:r>
          </w:p>
        </w:tc>
        <w:tc>
          <w:tcPr>
            <w:tcW w:type="dxa" w:w="69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What caused the stop — date conflict, missing document, entity mismatch, pending reviewer</w:t>
            </w:r>
          </w:p>
        </w:tc>
      </w:tr>
      <w:tr>
        <w:tc>
          <w:tcPr>
            <w:tcW w:type="dxa" w:w="24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A312C"/>
                <w:sz w:val="20"/>
                <w:szCs w:val="20"/>
              </w:rPr>
              <w:t xml:space="preserve">Owner of next action</w:t>
            </w:r>
          </w:p>
        </w:tc>
        <w:tc>
          <w:tcPr>
            <w:tcW w:type="dxa" w:w="69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User, supervisor, engagement manager, or system waiting on an external trigger</w:t>
            </w:r>
          </w:p>
        </w:tc>
      </w:tr>
      <w:tr>
        <w:tc>
          <w:tcPr>
            <w:tcW w:type="dxa" w:w="24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A312C"/>
                <w:sz w:val="20"/>
                <w:szCs w:val="20"/>
              </w:rPr>
              <w:t xml:space="preserve">Expiry</w:t>
            </w:r>
          </w:p>
        </w:tc>
        <w:tc>
          <w:tcPr>
            <w:tcW w:type="dxa" w:w="69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Whether the pause has a deadline — and what happens automatically if it is missed</w:t>
            </w:r>
          </w:p>
        </w:tc>
      </w:tr>
    </w:tbl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A312C"/>
          <w:sz w:val="22"/>
          <w:szCs w:val="22"/>
        </w:rPr>
        <w:t xml:space="preserve"/>
      </w:r>
    </w:p>
    <w:p>
      <w:pPr>
        <w:spacing w:after="80" w:before="24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3A312C"/>
          <w:sz w:val="28"/>
          <w:szCs w:val="28"/>
        </w:rPr>
        <w:t xml:space="preserve">The resume experience</w:t>
      </w:r>
    </w:p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On return, the user lands on a resume card — not back at the beginning of the flow. The card shows exactly where they stopped, why, what is already done, and the single primary action needed to continue.</w:t>
      </w:r>
    </w:p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A312C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D6B4A" w:sz="4"/>
              <w:left w:val="single" w:color="3D6B4A" w:sz="16"/>
              <w:bottom w:val="single" w:color="3D6B4A" w:sz="4"/>
              <w:right w:val="single" w:color="3D6B4A" w:sz="4"/>
            </w:tcBorders>
            <w:shd w:fill="ED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A312C"/>
                <w:sz w:val="22"/>
                <w:szCs w:val="22"/>
              </w:rPr>
              <w:t xml:space="preserve">Welcome back — Acme Corp Digital Transformation</w:t>
            </w:r>
          </w:p>
          <w:p>
            <w:pPr>
              <w:spacing w:after="8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1"/>
                <w:szCs w:val="21"/>
              </w:rPr>
              <w:t xml:space="preserve">You paused 2 days ago at: Document upload</w:t>
            </w:r>
          </w:p>
          <w:p>
            <w:pPr>
              <w:spacing w:after="8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1"/>
                <w:szCs w:val="21"/>
              </w:rPr>
              <w:t xml:space="preserve">Why it paused: Executed contract was not available</w:t>
            </w:r>
          </w:p>
          <w:p>
            <w:pPr>
              <w:spacing w:after="8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D6B4A"/>
                <w:sz w:val="21"/>
                <w:szCs w:val="21"/>
              </w:rPr>
              <w:t xml:space="preserve">What you need now: Upload the final signed engagement letter to continue</w:t>
            </w:r>
          </w:p>
          <w:p>
            <w:pPr>
              <w:spacing w:after="8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A5948C"/>
                <w:sz w:val="20"/>
                <w:szCs w:val="20"/>
              </w:rPr>
              <w:t xml:space="preserve">Already completed: ✓ Delivery date check   ✓ Engagement details   ○ Document upload   ○ Classification   ○ Review   ○ Submission</w:t>
            </w:r>
          </w:p>
        </w:tc>
      </w:tr>
    </w:tbl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A312C"/>
          <w:sz w:val="22"/>
          <w:szCs w:val="22"/>
        </w:rPr>
        <w:t xml:space="preserve"/>
      </w:r>
    </w:p>
    <w:p>
      <w:pPr>
        <w:spacing w:after="80" w:before="24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3A312C"/>
          <w:sz w:val="28"/>
          <w:szCs w:val="28"/>
        </w:rPr>
        <w:t xml:space="preserve">Expiry and escalation logic</w:t>
      </w:r>
    </w:p>
    <w:p>
      <w:pPr>
        <w:pStyle w:val="ListParagraph"/>
        <w:numPr>
          <w:ilvl w:val="0"/>
          <w:numId w:val="2"/>
        </w:numPr>
        <w:spacing w:after="8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If paused at date conflict and delivery date passes while paused: status changes to Expired, alert sent to user and supervisor, flagged for manual review</w:t>
      </w:r>
    </w:p>
    <w:p>
      <w:pPr>
        <w:pStyle w:val="ListParagraph"/>
        <w:numPr>
          <w:ilvl w:val="0"/>
          <w:numId w:val="2"/>
        </w:numPr>
        <w:spacing w:after="8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If paused at document upload with no activity for 14 days: reminder sent; after 30 days flagged as abandoned</w:t>
      </w:r>
    </w:p>
    <w:p>
      <w:pPr>
        <w:pStyle w:val="ListParagraph"/>
        <w:numPr>
          <w:ilvl w:val="0"/>
          <w:numId w:val="2"/>
        </w:numPr>
        <w:spacing w:after="8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If paused at compliance flag and submission deadline is within 24 hours: automatic escalation alert to supervisor</w:t>
      </w:r>
    </w:p>
    <w:p>
      <w:pPr>
        <w:spacing w:after="120" w:before="0"/>
        <w:jc w:val="left"/>
      </w:pPr>
      <w:r>
        <w:br/>
      </w:r>
    </w:p>
    <w:p>
      <w:pPr>
        <w:spacing w:after="80" w:before="32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C97B6E"/>
          <w:sz w:val="18"/>
          <w:szCs w:val="18"/>
        </w:rPr>
        <w:t xml:space="preserve">— </w:t>
      </w:r>
      <w:r>
        <w:rPr>
          <w:rFonts w:ascii="Georgia" w:cs="Georgia" w:eastAsia="Georgia" w:hAnsi="Georgia"/>
          <w:b/>
          <w:bCs/>
          <w:i w:val="false"/>
          <w:iCs w:val="false"/>
          <w:color w:val="C97B6E"/>
          <w:sz w:val="18"/>
          <w:szCs w:val="18"/>
        </w:rPr>
        <w:t xml:space="preserve">DESIGN DECISIONS &amp; TRADEOFFS</w:t>
      </w:r>
    </w:p>
    <w:p>
      <w:pPr>
        <w:pBdr>
          <w:bottom w:val="single" w:color="C97B6E" w:sz="8" w:space="2"/>
        </w:pBdr>
        <w:spacing w:after="80" w:before="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3A312C"/>
          <w:sz w:val="42"/>
          <w:szCs w:val="42"/>
        </w:rPr>
        <w:t xml:space="preserve">Choices Made Deliberately</w:t>
      </w:r>
    </w:p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These decisions reflect real tradeoffs — each one had an alternative considered and a reason it was not chosen.</w:t>
      </w:r>
    </w:p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A31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60"/>
        <w:gridCol w:w="4000"/>
      </w:tblGrid>
      <w:tr>
        <w:trPr>
          <w:tblHeader/>
        </w:trPr>
        <w:tc>
          <w:tcPr>
            <w:tcW w:type="dxa" w:w="2600"/>
            <w:tcBorders>
              <w:top w:val="single" w:color="C97B6E" w:sz="4"/>
              <w:left w:val="single" w:color="C97B6E" w:sz="4"/>
              <w:bottom w:val="single" w:color="C97B6E" w:sz="4"/>
              <w:right w:val="single" w:color="C97B6E" w:sz="4"/>
            </w:tcBorders>
            <w:shd w:fill="C97B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2760"/>
            <w:tcBorders>
              <w:top w:val="single" w:color="C97B6E" w:sz="4"/>
              <w:left w:val="single" w:color="C97B6E" w:sz="4"/>
              <w:bottom w:val="single" w:color="C97B6E" w:sz="4"/>
              <w:right w:val="single" w:color="C97B6E" w:sz="4"/>
            </w:tcBorders>
            <w:shd w:fill="C97B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Alternative considered</w:t>
            </w:r>
          </w:p>
        </w:tc>
        <w:tc>
          <w:tcPr>
            <w:tcW w:type="dxa" w:w="4000"/>
            <w:tcBorders>
              <w:top w:val="single" w:color="C97B6E" w:sz="4"/>
              <w:left w:val="single" w:color="C97B6E" w:sz="4"/>
              <w:bottom w:val="single" w:color="C97B6E" w:sz="4"/>
              <w:right w:val="single" w:color="C97B6E" w:sz="4"/>
            </w:tcBorders>
            <w:shd w:fill="C97B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Why this</w:t>
            </w:r>
          </w:p>
        </w:tc>
      </w:tr>
      <w:tr>
        <w:tc>
          <w:tcPr>
            <w:tcW w:type="dxa" w:w="26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Dual alert placement — field and chat</w:t>
            </w:r>
          </w:p>
        </w:tc>
        <w:tc>
          <w:tcPr>
            <w:tcW w:type="dxa" w:w="27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Single modal only</w:t>
            </w:r>
          </w:p>
        </w:tc>
        <w:tc>
          <w:tcPr>
            <w:tcW w:type="dxa" w:w="4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Users scan different areas at different moments. One location gets missed.</w:t>
            </w:r>
          </w:p>
        </w:tc>
      </w:tr>
      <w:tr>
        <w:tc>
          <w:tcPr>
            <w:tcW w:type="dxa" w:w="26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Document type declared before upload</w:t>
            </w:r>
          </w:p>
        </w:tc>
        <w:tc>
          <w:tcPr>
            <w:tcW w:type="dxa" w:w="27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AI detects type after upload</w:t>
            </w:r>
          </w:p>
        </w:tc>
        <w:tc>
          <w:tcPr>
            <w:tcW w:type="dxa" w:w="4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Primes user to think critically before the AI reads. Sets expectation rather than delivers surprise.</w:t>
            </w:r>
          </w:p>
        </w:tc>
      </w:tr>
      <w:tr>
        <w:tc>
          <w:tcPr>
            <w:tcW w:type="dxa" w:w="26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Progressive disclosure by confidence</w:t>
            </w:r>
          </w:p>
        </w:tc>
        <w:tc>
          <w:tcPr>
            <w:tcW w:type="dxa" w:w="27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Show all suggestions at once</w:t>
            </w:r>
          </w:p>
        </w:tc>
        <w:tc>
          <w:tcPr>
            <w:tcW w:type="dxa" w:w="4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Prevents congestion. Most important decisions made first without noise competing for attention.</w:t>
            </w:r>
          </w:p>
        </w:tc>
      </w:tr>
      <w:tr>
        <w:tc>
          <w:tcPr>
            <w:tcW w:type="dxa" w:w="26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Chat for decisions, interface inline for status</w:t>
            </w:r>
          </w:p>
        </w:tc>
        <w:tc>
          <w:tcPr>
            <w:tcW w:type="dxa" w:w="27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Everything in chat</w:t>
            </w:r>
          </w:p>
        </w:tc>
        <w:tc>
          <w:tcPr>
            <w:tcW w:type="dxa" w:w="4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Chat is reserved for decisions requiring input. Inline indicators handle passive information.</w:t>
            </w:r>
          </w:p>
        </w:tc>
      </w:tr>
      <w:tr>
        <w:tc>
          <w:tcPr>
            <w:tcW w:type="dxa" w:w="26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Pause captures reason not just progress</w:t>
            </w:r>
          </w:p>
        </w:tc>
        <w:tc>
          <w:tcPr>
            <w:tcW w:type="dxa" w:w="27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Save position only</w:t>
            </w:r>
          </w:p>
        </w:tc>
        <w:tc>
          <w:tcPr>
            <w:tcW w:type="dxa" w:w="4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Returning users need context, not just a bookmark. Reason enables the resume card narrative.</w:t>
            </w:r>
          </w:p>
        </w:tc>
      </w:tr>
      <w:tr>
        <w:tc>
          <w:tcPr>
            <w:tcW w:type="dxa" w:w="26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More suggestions rather than fewer</w:t>
            </w:r>
          </w:p>
        </w:tc>
        <w:tc>
          <w:tcPr>
            <w:tcW w:type="dxa" w:w="27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Precision-focused suggestions only</w:t>
            </w:r>
          </w:p>
        </w:tc>
        <w:tc>
          <w:tcPr>
            <w:tcW w:type="dxa" w:w="4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B5C54"/>
                <w:sz w:val="20"/>
                <w:szCs w:val="20"/>
              </w:rPr>
              <w:t xml:space="preserve">Omission is more costly than over-suggestion in compliance. High recall is the right bias.</w:t>
            </w:r>
          </w:p>
        </w:tc>
      </w:tr>
    </w:tbl>
    <w:p>
      <w:pPr>
        <w:spacing w:after="120" w:before="0"/>
        <w:jc w:val="left"/>
      </w:pPr>
      <w:r>
        <w:br/>
      </w:r>
    </w:p>
    <w:p>
      <w:pPr>
        <w:spacing w:after="80" w:before="32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C97B6E"/>
          <w:sz w:val="18"/>
          <w:szCs w:val="18"/>
        </w:rPr>
        <w:t xml:space="preserve">— </w:t>
      </w:r>
      <w:r>
        <w:rPr>
          <w:rFonts w:ascii="Georgia" w:cs="Georgia" w:eastAsia="Georgia" w:hAnsi="Georgia"/>
          <w:b/>
          <w:bCs/>
          <w:i w:val="false"/>
          <w:iCs w:val="false"/>
          <w:color w:val="C97B6E"/>
          <w:sz w:val="18"/>
          <w:szCs w:val="18"/>
        </w:rPr>
        <w:t xml:space="preserve">WHAT I WOULD TEST</w:t>
      </w:r>
    </w:p>
    <w:p>
      <w:pPr>
        <w:pBdr>
          <w:bottom w:val="single" w:color="C97B6E" w:sz="8" w:space="2"/>
        </w:pBdr>
        <w:spacing w:after="80" w:before="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3A312C"/>
          <w:sz w:val="42"/>
          <w:szCs w:val="42"/>
        </w:rPr>
        <w:t xml:space="preserve">Design as Hypothesis</w:t>
      </w:r>
    </w:p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These are the assumptions I would validate before considering this production-ready. Showing that you can identify your own unknowns is as important as the design itself.</w:t>
      </w:r>
    </w:p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A312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Does dual alert placement reduce missed warnings — or does it create visual noise that users learn to ignore?</w:t>
      </w:r>
    </w:p>
    <w:p>
      <w:pPr>
        <w:pStyle w:val="ListParagraph"/>
        <w:numPr>
          <w:ilvl w:val="0"/>
          <w:numId w:val="2"/>
        </w:numPr>
        <w:spacing w:after="8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Does declaring document type upfront improve accuracy or introduce drop-off for users who are unsure what they have?</w:t>
      </w:r>
    </w:p>
    <w:p>
      <w:pPr>
        <w:pStyle w:val="ListParagraph"/>
        <w:numPr>
          <w:ilvl w:val="0"/>
          <w:numId w:val="2"/>
        </w:numPr>
        <w:spacing w:after="8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Does progressive disclosure by confidence cause users to miss important lower-confidence suggestions that were collapsed?</w:t>
      </w:r>
    </w:p>
    <w:p>
      <w:pPr>
        <w:pStyle w:val="ListParagraph"/>
        <w:numPr>
          <w:ilvl w:val="0"/>
          <w:numId w:val="2"/>
        </w:numPr>
        <w:spacing w:after="8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Does the resume card reduce time-to-action on return sessions compared to restarting from the beginning?</w:t>
      </w:r>
    </w:p>
    <w:p>
      <w:pPr>
        <w:pStyle w:val="ListParagraph"/>
        <w:numPr>
          <w:ilvl w:val="0"/>
          <w:numId w:val="2"/>
        </w:numPr>
        <w:spacing w:after="8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At what volume of compliance flags does alert fatigue set in — and how do users behave when it does?</w:t>
      </w:r>
    </w:p>
    <w:p>
      <w:pPr>
        <w:pStyle w:val="ListParagraph"/>
        <w:numPr>
          <w:ilvl w:val="0"/>
          <w:numId w:val="2"/>
        </w:numPr>
        <w:spacing w:after="8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Does the more-rather-than-less suggestion strategy lead to rubber-stamp confirmation behaviour where users stop reading critically?</w:t>
      </w:r>
    </w:p>
    <w:p>
      <w:pPr>
        <w:spacing w:after="120" w:before="0"/>
        <w:jc w:val="left"/>
      </w:pPr>
      <w:r>
        <w:br/>
      </w:r>
    </w:p>
    <w:p>
      <w:pPr>
        <w:spacing w:after="80" w:before="32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C97B6E"/>
          <w:sz w:val="18"/>
          <w:szCs w:val="18"/>
        </w:rPr>
        <w:t xml:space="preserve">— </w:t>
      </w:r>
      <w:r>
        <w:rPr>
          <w:rFonts w:ascii="Georgia" w:cs="Georgia" w:eastAsia="Georgia" w:hAnsi="Georgia"/>
          <w:b/>
          <w:bCs/>
          <w:i w:val="false"/>
          <w:iCs w:val="false"/>
          <w:color w:val="C97B6E"/>
          <w:sz w:val="18"/>
          <w:szCs w:val="18"/>
        </w:rPr>
        <w:t xml:space="preserve">REFLECTION</w:t>
      </w:r>
    </w:p>
    <w:p>
      <w:pPr>
        <w:pBdr>
          <w:bottom w:val="single" w:color="C97B6E" w:sz="8" w:space="2"/>
        </w:pBdr>
        <w:spacing w:after="80" w:before="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3A312C"/>
          <w:sz w:val="42"/>
          <w:szCs w:val="42"/>
        </w:rPr>
        <w:t xml:space="preserve">What This Project Taught Me</w:t>
      </w:r>
    </w:p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A312C"/>
          <w:sz w:val="22"/>
          <w:szCs w:val="22"/>
        </w:rPr>
        <w:t xml:space="preserve"/>
      </w:r>
    </w:p>
    <w:p>
      <w:pPr>
        <w:spacing w:after="80" w:before="24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3A312C"/>
          <w:sz w:val="28"/>
          <w:szCs w:val="28"/>
        </w:rPr>
        <w:t xml:space="preserve">What it reinforced</w:t>
      </w:r>
    </w:p>
    <w:p>
      <w:pPr>
        <w:pStyle w:val="ListParagraph"/>
        <w:numPr>
          <w:ilvl w:val="0"/>
          <w:numId w:val="2"/>
        </w:numPr>
        <w:spacing w:after="8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AI assistants inherit the confusion of the systems they sit on top of. Knowledge engineering — documenting every field, every rule, every conditional — is the hard work. The AI layer is the easier part.</w:t>
      </w:r>
    </w:p>
    <w:p>
      <w:pPr>
        <w:pStyle w:val="ListParagraph"/>
        <w:numPr>
          <w:ilvl w:val="0"/>
          <w:numId w:val="2"/>
        </w:numPr>
        <w:spacing w:after="8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Compliance UX requires designing for error prevention, not just efficiency. The right question is not how fast can the user complete this — it is how certain can we be that what they submit is correct.</w:t>
      </w:r>
    </w:p>
    <w:p>
      <w:pPr>
        <w:pStyle w:val="ListParagraph"/>
        <w:numPr>
          <w:ilvl w:val="0"/>
          <w:numId w:val="2"/>
        </w:numPr>
        <w:spacing w:after="8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Healthcare compliance experience transferred more directly than expected. The discipline of high-stakes documentation — draft vs executed, version control, audit trails — is domain-agnostic.</w:t>
      </w:r>
    </w:p>
    <w:p>
      <w:pPr>
        <w:pStyle w:val="ListParagraph"/>
        <w:numPr>
          <w:ilvl w:val="0"/>
          <w:numId w:val="2"/>
        </w:numPr>
        <w:spacing w:after="8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Designing for interruption is as important as designing the happy path. Real enterprise users do not complete flows in one sitting. Session continuity is a first-class UX concern.</w:t>
      </w:r>
    </w:p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A312C"/>
          <w:sz w:val="22"/>
          <w:szCs w:val="22"/>
        </w:rPr>
        <w:t xml:space="preserve"/>
      </w:r>
    </w:p>
    <w:p>
      <w:pPr>
        <w:spacing w:after="80" w:before="24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3A312C"/>
          <w:sz w:val="28"/>
          <w:szCs w:val="28"/>
        </w:rPr>
        <w:t xml:space="preserve">What I would explore further</w:t>
      </w:r>
    </w:p>
    <w:p>
      <w:pPr>
        <w:pStyle w:val="ListParagraph"/>
        <w:numPr>
          <w:ilvl w:val="0"/>
          <w:numId w:val="2"/>
        </w:numPr>
        <w:spacing w:after="8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Multilingual adaptation — how does this logic hold for Japanese-language contracts where service terminology differs significantly?</w:t>
      </w:r>
    </w:p>
    <w:p>
      <w:pPr>
        <w:pStyle w:val="ListParagraph"/>
        <w:numPr>
          <w:ilvl w:val="0"/>
          <w:numId w:val="2"/>
        </w:numPr>
        <w:spacing w:after="8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Role-based experience — a first-time junior analyst and a senior partner have fundamentally different mental models of the same system.</w:t>
      </w:r>
    </w:p>
    <w:p>
      <w:pPr>
        <w:pStyle w:val="ListParagraph"/>
        <w:numPr>
          <w:ilvl w:val="0"/>
          <w:numId w:val="2"/>
        </w:numPr>
        <w:spacing w:after="8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Handoff design — how does the assistant communicate with the Salesforce record so downstream reviewers have full context?</w:t>
      </w:r>
    </w:p>
    <w:p>
      <w:pPr>
        <w:pStyle w:val="ListParagraph"/>
        <w:numPr>
          <w:ilvl w:val="0"/>
          <w:numId w:val="2"/>
        </w:numPr>
        <w:spacing w:after="8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Feedback loop — how do incorrect classifications get flagged, and how does that feed back into improving the AI knowledge base over time?</w:t>
      </w:r>
    </w:p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A312C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B6E" w:sz="4"/>
              <w:left w:val="single" w:color="C97B6E" w:sz="16"/>
              <w:bottom w:val="single" w:color="C97B6E" w:sz="4"/>
              <w:right w:val="single" w:color="C97B6E" w:sz="4"/>
            </w:tcBorders>
            <w:shd w:fill="FAF0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97B6E"/>
                <w:sz w:val="22"/>
                <w:szCs w:val="22"/>
              </w:rPr>
              <w:t xml:space="preserve">The long-term arc</w:t>
            </w:r>
          </w:p>
          <w:p>
            <w:pPr>
              <w:spacing w:after="8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A312C"/>
                <w:sz w:val="22"/>
                <w:szCs w:val="22"/>
              </w:rPr>
              <w:t xml:space="preserve">This project sits at the intersection of AI product thinking, compliance domain expertise, and enterprise UX maturity. The combination — designing AI assistants that reduce cognitive load in high-stakes regulated environments — is the direction I am building toward.</w:t>
            </w:r>
          </w:p>
          <w:p>
            <w:pPr>
              <w:spacing w:after="8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C97B6E"/>
                <w:sz w:val="21"/>
                <w:szCs w:val="21"/>
              </w:rPr>
              <w:t xml:space="preserve">Chatbot UX at PwC  →  AI-assisted journey optimisation at Adobe  →  Independent AI UX consulting</w:t>
            </w:r>
          </w:p>
        </w:tc>
      </w:tr>
    </w:tbl>
    <w:p>
      <w:pPr>
        <w:spacing w:after="120" w:before="0"/>
        <w:jc w:val="left"/>
      </w:pPr>
      <w:r>
        <w:br/>
      </w:r>
    </w:p>
    <w:p>
      <w:pPr>
        <w:spacing w:after="80" w:before="32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C97B6E"/>
          <w:sz w:val="18"/>
          <w:szCs w:val="18"/>
        </w:rPr>
        <w:t xml:space="preserve">— </w:t>
      </w:r>
      <w:r>
        <w:rPr>
          <w:rFonts w:ascii="Georgia" w:cs="Georgia" w:eastAsia="Georgia" w:hAnsi="Georgia"/>
          <w:b/>
          <w:bCs/>
          <w:i w:val="false"/>
          <w:iCs w:val="false"/>
          <w:color w:val="C97B6E"/>
          <w:sz w:val="18"/>
          <w:szCs w:val="18"/>
        </w:rPr>
        <w:t xml:space="preserve">APPENDIX</w:t>
      </w:r>
    </w:p>
    <w:p>
      <w:pPr>
        <w:pBdr>
          <w:bottom w:val="single" w:color="C97B6E" w:sz="8" w:space="2"/>
        </w:pBdr>
        <w:spacing w:after="80" w:before="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3A312C"/>
          <w:sz w:val="42"/>
          <w:szCs w:val="42"/>
        </w:rPr>
        <w:t xml:space="preserve">Full Decision Tree Logic</w:t>
      </w:r>
    </w:p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This functional specification documents the complete decision logic for the AI navigator. It is intended as a handoff artifact for engineering teams.</w:t>
      </w:r>
    </w:p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A312C"/>
          <w:sz w:val="22"/>
          <w:szCs w:val="22"/>
        </w:rPr>
        <w:t xml:space="preserve"/>
      </w:r>
    </w:p>
    <w:p>
      <w:pPr>
        <w:spacing w:after="60" w:before="1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C97B6E"/>
          <w:sz w:val="22"/>
          <w:szCs w:val="22"/>
        </w:rPr>
        <w:t xml:space="preserve">Phase 1 — Delivery date</w:t>
      </w:r>
    </w:p>
    <w:p>
      <w:pPr>
        <w:pStyle w:val="ListParagraph"/>
        <w:numPr>
          <w:ilvl w:val="0"/>
          <w:numId w:val="2"/>
        </w:numPr>
        <w:spacing w:after="8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Calculate days between today and delivery_start_date</w:t>
      </w:r>
    </w:p>
    <w:p>
      <w:pPr>
        <w:pStyle w:val="ListParagraph"/>
        <w:numPr>
          <w:ilvl w:val="0"/>
          <w:numId w:val="2"/>
        </w:numPr>
        <w:spacing w:after="8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Under 3 days → HARD BLOCK + floating alert anchored to date field + assistant alert with two choices (Pause / Proceed)</w:t>
      </w:r>
    </w:p>
    <w:p>
      <w:pPr>
        <w:pStyle w:val="ListParagraph"/>
        <w:numPr>
          <w:ilvl w:val="0"/>
          <w:numId w:val="2"/>
        </w:numPr>
        <w:spacing w:after="8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3 to 7 days → AMBER WARNING in assistant, does not block, persists throughout session</w:t>
      </w:r>
    </w:p>
    <w:p>
      <w:pPr>
        <w:pStyle w:val="ListParagraph"/>
        <w:numPr>
          <w:ilvl w:val="0"/>
          <w:numId w:val="2"/>
        </w:numPr>
        <w:spacing w:after="8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Over 7 days → no alert, proceed normally</w:t>
      </w:r>
    </w:p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A312C"/>
          <w:sz w:val="22"/>
          <w:szCs w:val="22"/>
        </w:rPr>
        <w:t xml:space="preserve"/>
      </w:r>
    </w:p>
    <w:p>
      <w:pPr>
        <w:spacing w:after="60" w:before="1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C97B6E"/>
          <w:sz w:val="22"/>
          <w:szCs w:val="22"/>
        </w:rPr>
        <w:t xml:space="preserve">Phase 2 — Document validation</w:t>
      </w:r>
    </w:p>
    <w:p>
      <w:pPr>
        <w:pStyle w:val="ListParagraph"/>
        <w:numPr>
          <w:ilvl w:val="0"/>
          <w:numId w:val="2"/>
        </w:numPr>
        <w:spacing w:after="8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Check official signals: signature block, contract number, effective date, letterhead</w:t>
      </w:r>
    </w:p>
    <w:p>
      <w:pPr>
        <w:pStyle w:val="ListParagraph"/>
        <w:numPr>
          <w:ilvl w:val="0"/>
          <w:numId w:val="2"/>
        </w:numPr>
        <w:spacing w:after="8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2 or fewer signals → force document type declaration → draft/proposal path = low confidence classification throughout</w:t>
      </w:r>
    </w:p>
    <w:p>
      <w:pPr>
        <w:pStyle w:val="ListParagraph"/>
        <w:numPr>
          <w:ilvl w:val="0"/>
          <w:numId w:val="2"/>
        </w:numPr>
        <w:spacing w:after="8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Check filenames and metadata for draft/proposal/internal language → inline warning near filename</w:t>
      </w:r>
    </w:p>
    <w:p>
      <w:pPr>
        <w:pStyle w:val="ListParagraph"/>
        <w:numPr>
          <w:ilvl w:val="0"/>
          <w:numId w:val="2"/>
        </w:numPr>
        <w:spacing w:after="8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Compare client name in document against Salesforce engagement record → mismatch = HARD BLOCK modal</w:t>
      </w:r>
    </w:p>
    <w:p>
      <w:pPr>
        <w:pStyle w:val="ListParagraph"/>
        <w:numPr>
          <w:ilvl w:val="0"/>
          <w:numId w:val="2"/>
        </w:numPr>
        <w:spacing w:after="8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Check effective date and contract end date → end date passed = HARD BLOCK; over 12 months old = soft warning</w:t>
      </w:r>
    </w:p>
    <w:p>
      <w:pPr>
        <w:pStyle w:val="ListParagraph"/>
        <w:numPr>
          <w:ilvl w:val="0"/>
          <w:numId w:val="2"/>
        </w:numPr>
        <w:spacing w:after="8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Detect amendment language → amendment without original in session = request original, skip allowed but marked incomplete</w:t>
      </w:r>
    </w:p>
    <w:p>
      <w:pPr>
        <w:pStyle w:val="ListParagraph"/>
        <w:numPr>
          <w:ilvl w:val="0"/>
          <w:numId w:val="2"/>
        </w:numPr>
        <w:spacing w:after="8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Multiple documents uploaded → compare dates, detect scope conflicts, user designates governing document</w:t>
      </w:r>
    </w:p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A312C"/>
          <w:sz w:val="22"/>
          <w:szCs w:val="22"/>
        </w:rPr>
        <w:t xml:space="preserve"/>
      </w:r>
    </w:p>
    <w:p>
      <w:pPr>
        <w:spacing w:after="60" w:before="1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C97B6E"/>
          <w:sz w:val="22"/>
          <w:szCs w:val="22"/>
        </w:rPr>
        <w:t xml:space="preserve">Phase 3 — Service classification</w:t>
      </w:r>
    </w:p>
    <w:p>
      <w:pPr>
        <w:pStyle w:val="ListParagraph"/>
        <w:numPr>
          <w:ilvl w:val="0"/>
          <w:numId w:val="2"/>
        </w:numPr>
        <w:spacing w:after="8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Executed contract path → HIGH confidence classification, top suggestions shown by default</w:t>
      </w:r>
    </w:p>
    <w:p>
      <w:pPr>
        <w:pStyle w:val="ListParagraph"/>
        <w:numPr>
          <w:ilvl w:val="0"/>
          <w:numId w:val="2"/>
        </w:numPr>
        <w:spacing w:after="8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Draft/proposal path → LOW confidence, all suggestions shown marked as unconfirmed, additional sign-off required</w:t>
      </w:r>
    </w:p>
    <w:p>
      <w:pPr>
        <w:pStyle w:val="ListParagraph"/>
        <w:numPr>
          <w:ilvl w:val="0"/>
          <w:numId w:val="2"/>
        </w:numPr>
        <w:spacing w:after="8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Multiple documents with designated primary → classify from primary, cross-reference secondary, flag secondary-only services</w:t>
      </w:r>
    </w:p>
    <w:p>
      <w:pPr>
        <w:pStyle w:val="ListParagraph"/>
        <w:numPr>
          <w:ilvl w:val="0"/>
          <w:numId w:val="2"/>
        </w:numPr>
        <w:spacing w:after="8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Run compliance flag evaluation on active service combination</w:t>
      </w:r>
    </w:p>
    <w:p>
      <w:pPr>
        <w:pStyle w:val="ListParagraph"/>
        <w:numPr>
          <w:ilvl w:val="0"/>
          <w:numId w:val="2"/>
        </w:numPr>
        <w:spacing w:after="8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Advisory + Transaction → independence check required; Technology services → data privacy review required</w:t>
      </w:r>
    </w:p>
    <w:p>
      <w:pPr>
        <w:pStyle w:val="ListParagraph"/>
        <w:numPr>
          <w:ilvl w:val="0"/>
          <w:numId w:val="2"/>
        </w:numPr>
        <w:spacing w:after="8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3+ service lines → partner sign-off required; Listed client → SEC fields activate</w:t>
      </w:r>
    </w:p>
    <w:p>
      <w:pPr>
        <w:pStyle w:val="ListParagraph"/>
        <w:numPr>
          <w:ilvl w:val="0"/>
          <w:numId w:val="2"/>
        </w:numPr>
        <w:spacing w:after="8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54"/>
          <w:sz w:val="22"/>
          <w:szCs w:val="22"/>
        </w:rPr>
        <w:t xml:space="preserve">Submission gate: all hard blocks resolved + all flags acknowledged + compliance actions named → submission prepared</w:t>
      </w:r>
    </w:p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A312C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A312C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A5948C"/>
          <w:sz w:val="18"/>
          <w:szCs w:val="18"/>
        </w:rPr>
        <w:t xml:space="preserve">Satoko Gruson  ·  UX Designer &amp; Web Product Manager  ·  satokogruson.github.io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Georgia" w:cs="Georgia" w:eastAsia="Georgia" w:hAnsi="Georgia"/>
      <w:b/>
      <w:bCs/>
      <w:color w:val="3A312C"/>
      <w:sz w:val="42"/>
      <w:szCs w:val="4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Georgia" w:cs="Georgia" w:eastAsia="Georgia" w:hAnsi="Georgia"/>
      <w:b/>
      <w:bCs/>
      <w:color w:val="3A312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2026-06-28T13:29:11.242Z</dcterms:created>
  <dcterms:modified xsi:type="dcterms:W3CDTF">2026-06-28T13:29:11.252Z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