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AAF5" w14:textId="77777777" w:rsidR="002E6F08" w:rsidRDefault="00000000">
      <w:pPr>
        <w:spacing w:after="80"/>
      </w:pPr>
      <w:r>
        <w:rPr>
          <w:color w:val="7A7A9D"/>
          <w:spacing w:val="40"/>
          <w:sz w:val="18"/>
          <w:szCs w:val="18"/>
        </w:rPr>
        <w:t>PROJEKT BADAWCZY  ·  KOGNITYWISTYKA  ·  ROK 3  ·  UMK TORUŃ</w:t>
      </w:r>
    </w:p>
    <w:p w14:paraId="198375C3" w14:textId="77777777" w:rsidR="002E6F08" w:rsidRDefault="00000000">
      <w:pPr>
        <w:pStyle w:val="Nagwek1"/>
      </w:pPr>
      <w:r>
        <w:rPr>
          <w:sz w:val="56"/>
          <w:szCs w:val="56"/>
        </w:rPr>
        <w:t>Neuronalne i behawioralne korelaty zjawiska FOMO</w:t>
      </w:r>
    </w:p>
    <w:p w14:paraId="63497DF3" w14:textId="77777777" w:rsidR="002E6F08" w:rsidRDefault="00000000">
      <w:pPr>
        <w:spacing w:after="200"/>
      </w:pPr>
      <w:r>
        <w:rPr>
          <w:i/>
          <w:iCs/>
          <w:color w:val="4A4A7A"/>
          <w:sz w:val="26"/>
          <w:szCs w:val="26"/>
        </w:rPr>
        <w:t>Badanie przy użyciu elektroencefalografii (EEG) — pomiar reakcji neuronalnych na cyfrowe bodźce dźwiękowe u osób z wysokim i niskim poziomem lęku przed wykluczeniem społecznym.</w:t>
      </w:r>
    </w:p>
    <w:p w14:paraId="1571B164" w14:textId="77777777" w:rsidR="002E6F08" w:rsidRDefault="002E6F08">
      <w:pPr>
        <w:pBdr>
          <w:bottom w:val="single" w:sz="6" w:space="1" w:color="1A1A2E"/>
        </w:pBdr>
        <w:spacing w:after="300"/>
      </w:pPr>
    </w:p>
    <w:p w14:paraId="45AF0233" w14:textId="77777777" w:rsidR="002E6F08" w:rsidRPr="002D6387" w:rsidRDefault="00000000">
      <w:pPr>
        <w:spacing w:after="60"/>
        <w:rPr>
          <w:lang w:val="es-419"/>
        </w:rPr>
      </w:pPr>
      <w:r w:rsidRPr="002D6387">
        <w:rPr>
          <w:color w:val="7A7A9D"/>
          <w:sz w:val="22"/>
          <w:szCs w:val="22"/>
          <w:lang w:val="es-419"/>
        </w:rPr>
        <w:t xml:space="preserve">Autor: </w:t>
      </w:r>
      <w:r w:rsidRPr="002D6387">
        <w:rPr>
          <w:b/>
          <w:bCs/>
          <w:sz w:val="22"/>
          <w:szCs w:val="22"/>
          <w:lang w:val="es-419"/>
        </w:rPr>
        <w:t>D. Satora-Izquierdo</w:t>
      </w:r>
    </w:p>
    <w:p w14:paraId="65F43332" w14:textId="77777777" w:rsidR="002E6F08" w:rsidRPr="002D6387" w:rsidRDefault="00000000">
      <w:pPr>
        <w:spacing w:after="60"/>
        <w:rPr>
          <w:lang w:val="es-419"/>
        </w:rPr>
      </w:pPr>
      <w:r w:rsidRPr="002D6387">
        <w:rPr>
          <w:color w:val="7A7A9D"/>
          <w:sz w:val="22"/>
          <w:szCs w:val="22"/>
          <w:lang w:val="es-419"/>
        </w:rPr>
        <w:t xml:space="preserve">Rok realizacji: </w:t>
      </w:r>
      <w:r w:rsidRPr="002D6387">
        <w:rPr>
          <w:b/>
          <w:bCs/>
          <w:sz w:val="22"/>
          <w:szCs w:val="22"/>
          <w:lang w:val="es-419"/>
        </w:rPr>
        <w:t>2026</w:t>
      </w:r>
    </w:p>
    <w:p w14:paraId="645CE8BE" w14:textId="77777777" w:rsidR="002E6F08" w:rsidRDefault="00000000">
      <w:pPr>
        <w:spacing w:after="60"/>
      </w:pPr>
      <w:r>
        <w:rPr>
          <w:color w:val="7A7A9D"/>
          <w:sz w:val="22"/>
          <w:szCs w:val="22"/>
        </w:rPr>
        <w:t xml:space="preserve">Instytucja: </w:t>
      </w:r>
      <w:r>
        <w:rPr>
          <w:b/>
          <w:bCs/>
          <w:sz w:val="22"/>
          <w:szCs w:val="22"/>
        </w:rPr>
        <w:t>Uniwersytet Mikołaja Kopernika, Toruń</w:t>
      </w:r>
    </w:p>
    <w:p w14:paraId="5B59AA39" w14:textId="77777777" w:rsidR="002E6F08" w:rsidRDefault="00000000">
      <w:pPr>
        <w:spacing w:after="400"/>
      </w:pPr>
      <w:r>
        <w:rPr>
          <w:color w:val="7A7A9D"/>
          <w:sz w:val="22"/>
          <w:szCs w:val="22"/>
        </w:rPr>
        <w:t xml:space="preserve">Laboratorium: </w:t>
      </w:r>
      <w:r>
        <w:rPr>
          <w:b/>
          <w:bCs/>
          <w:sz w:val="22"/>
          <w:szCs w:val="22"/>
        </w:rPr>
        <w:t>SWPS Warszawa — 64-kanałowy system EEG Brain Products</w:t>
      </w:r>
    </w:p>
    <w:p w14:paraId="19E42773" w14:textId="77777777" w:rsidR="002E6F08" w:rsidRDefault="00000000">
      <w:pPr>
        <w:pStyle w:val="Nagwek2"/>
      </w:pPr>
      <w:r>
        <w:t>Dlaczego to ważne?</w:t>
      </w:r>
    </w:p>
    <w:p w14:paraId="60CA18FA" w14:textId="77777777" w:rsidR="002E6F08" w:rsidRDefault="00000000">
      <w:pPr>
        <w:spacing w:after="160"/>
      </w:pPr>
      <w:r>
        <w:rPr>
          <w:b/>
          <w:bCs/>
          <w:color w:val="2C2C6E"/>
          <w:sz w:val="72"/>
          <w:szCs w:val="72"/>
        </w:rPr>
        <w:t>69%</w:t>
      </w:r>
      <w:r>
        <w:rPr>
          <w:sz w:val="28"/>
          <w:szCs w:val="28"/>
        </w:rPr>
        <w:t xml:space="preserve">  młodych użytkowników mediów społecznościowych w USA doświadcza objawów FOMO.</w:t>
      </w:r>
    </w:p>
    <w:p w14:paraId="442D237C" w14:textId="77777777" w:rsidR="002E6F08" w:rsidRDefault="00000000">
      <w:pPr>
        <w:spacing w:after="120"/>
      </w:pPr>
      <w:proofErr w:type="spellStart"/>
      <w:r>
        <w:rPr>
          <w:color w:val="3A3A5C"/>
        </w:rPr>
        <w:t>Fear</w:t>
      </w:r>
      <w:proofErr w:type="spellEnd"/>
      <w:r>
        <w:rPr>
          <w:color w:val="3A3A5C"/>
        </w:rPr>
        <w:t xml:space="preserve"> of Missing Out — lęk przed pominięciem istotnych doświadczeń społecznych — stał się jednym z najbardziej rozpowszechnionych zjawisk psychologicznych epoki cyfrowej. Algorytmy platform społecznościowych aktywnie eksploatują ten mechanizm jako narzędzie marketingowe, napędzając kompulsywne zachowania konsumenckie. Skutki są poważne: przewlekły lęk, zaburzenia snu, osłabienie relacji interpersonalnych oraz obniżona koncentracja.</w:t>
      </w:r>
    </w:p>
    <w:p w14:paraId="12B71EC5" w14:textId="77777777" w:rsidR="002E6F08" w:rsidRDefault="00000000">
      <w:pPr>
        <w:spacing w:after="400"/>
      </w:pPr>
      <w:r>
        <w:rPr>
          <w:i/>
          <w:iCs/>
          <w:color w:val="3A3A5C"/>
        </w:rPr>
        <w:t>Dotychczas FOMO badano niemal wyłącznie metodami kwestionariuszowymi. Niniejszy projekt jako jeden z nielicznych podejmuje próbę obiektywnego pomiaru jego neuronalnych podstaw przy użyciu elektroencefalografii.</w:t>
      </w:r>
    </w:p>
    <w:p w14:paraId="4220D73D" w14:textId="77777777" w:rsidR="002E6F08" w:rsidRDefault="002E6F08">
      <w:pPr>
        <w:spacing w:before="400"/>
      </w:pPr>
    </w:p>
    <w:p w14:paraId="00EE1183" w14:textId="77777777" w:rsidR="002E6F08" w:rsidRDefault="002E6F08">
      <w:pPr>
        <w:pBdr>
          <w:top w:val="single" w:sz="6" w:space="1" w:color="2C2C6E"/>
        </w:pBdr>
        <w:spacing w:before="200"/>
      </w:pPr>
    </w:p>
    <w:p w14:paraId="4822739B" w14:textId="77777777" w:rsidR="002E6F08" w:rsidRDefault="00000000">
      <w:pPr>
        <w:pStyle w:val="Nagwek2"/>
      </w:pPr>
      <w:r>
        <w:t>Abstrakt</w:t>
      </w:r>
    </w:p>
    <w:p w14:paraId="6CB9D0CE" w14:textId="77777777" w:rsidR="002E6F08" w:rsidRDefault="00000000">
      <w:pPr>
        <w:spacing w:after="180"/>
        <w:jc w:val="both"/>
      </w:pPr>
      <w:r>
        <w:rPr>
          <w:sz w:val="23"/>
          <w:szCs w:val="23"/>
        </w:rPr>
        <w:t xml:space="preserve">Niniejszy projekt badawczy dotyczy neurobiologicznych mechanizmów leżących u podstaw zjawiska </w:t>
      </w:r>
      <w:proofErr w:type="spellStart"/>
      <w:r>
        <w:rPr>
          <w:sz w:val="23"/>
          <w:szCs w:val="23"/>
        </w:rPr>
        <w:t>Fear</w:t>
      </w:r>
      <w:proofErr w:type="spellEnd"/>
      <w:r>
        <w:rPr>
          <w:sz w:val="23"/>
          <w:szCs w:val="23"/>
        </w:rPr>
        <w:t xml:space="preserve"> of Missing Out (FOMO) — definiowanego jako reaktywność emocjonalna na bodziec sugerujący możliwość pominięcia istotnego doświadczenia społecznego. Pomimo rosnącej skali zjawiska i jego udokumentowanych konsekwencji klinicznych (przewlekły lęk, zaburzenia snu, kompulsywne używanie </w:t>
      </w:r>
      <w:proofErr w:type="spellStart"/>
      <w:r>
        <w:rPr>
          <w:sz w:val="23"/>
          <w:szCs w:val="23"/>
        </w:rPr>
        <w:t>smartfona</w:t>
      </w:r>
      <w:proofErr w:type="spellEnd"/>
      <w:r>
        <w:rPr>
          <w:sz w:val="23"/>
          <w:szCs w:val="23"/>
        </w:rPr>
        <w:t>), dotychczasowe badania opierały się niemal wyłącznie na metodach kwestionariuszowych, pozostawiając otwartym pytanie o obiektywne korelaty neuronalne FOMO.</w:t>
      </w:r>
    </w:p>
    <w:p w14:paraId="2F8C6FCA" w14:textId="77777777" w:rsidR="002E6F08" w:rsidRDefault="00000000">
      <w:pPr>
        <w:spacing w:after="180"/>
        <w:jc w:val="both"/>
      </w:pPr>
      <w:r>
        <w:rPr>
          <w:sz w:val="23"/>
          <w:szCs w:val="23"/>
        </w:rPr>
        <w:lastRenderedPageBreak/>
        <w:t>Celem projektu jest precyzyjne określenie, które wzorce aktywności bioelektrycznej mózgu różnicują osoby o wysokim i niskim poziomie FOMO w warunkach ekspozycji na dźwiękowe powiadomienia z mediów społecznościowych przy jednoczesnym braku możliwości sprawdzenia telefonu. Badanie realizowane jest z użyciem 64-kanałowego systemu EEG firmy Brain Products (</w:t>
      </w:r>
      <w:proofErr w:type="spellStart"/>
      <w:r>
        <w:rPr>
          <w:sz w:val="23"/>
          <w:szCs w:val="23"/>
        </w:rPr>
        <w:t>laboratoirum</w:t>
      </w:r>
      <w:proofErr w:type="spellEnd"/>
      <w:r>
        <w:rPr>
          <w:sz w:val="23"/>
          <w:szCs w:val="23"/>
        </w:rPr>
        <w:t xml:space="preserve"> SWPS Warszawa). Próba badawcza liczy N=40 studentów (wiek 18–25 lat), wyłonionych metodą doboru skrajnego na podstawie wyników skali </w:t>
      </w:r>
      <w:proofErr w:type="spellStart"/>
      <w:r>
        <w:rPr>
          <w:sz w:val="23"/>
          <w:szCs w:val="23"/>
        </w:rPr>
        <w:t>FoMOs</w:t>
      </w:r>
      <w:proofErr w:type="spellEnd"/>
      <w:r>
        <w:rPr>
          <w:sz w:val="23"/>
          <w:szCs w:val="23"/>
        </w:rPr>
        <w:t xml:space="preserve"> (Przybylski i in., 2013).</w:t>
      </w:r>
    </w:p>
    <w:p w14:paraId="39A96316" w14:textId="77777777" w:rsidR="002E6F08" w:rsidRDefault="00000000">
      <w:pPr>
        <w:spacing w:after="180"/>
        <w:jc w:val="both"/>
      </w:pPr>
      <w:r>
        <w:rPr>
          <w:sz w:val="23"/>
          <w:szCs w:val="23"/>
        </w:rPr>
        <w:t xml:space="preserve">Projekt weryfikuje dwie hipotezy. H1 zakłada, że u osób z wysokim FOMO ekspozycja na dźwięk powiadomienia wywoła istotnie silniejszy spadek mocy fal alfa w lewej korze czołowej — mierzony wskaźnikiem </w:t>
      </w:r>
      <w:proofErr w:type="spellStart"/>
      <w:r>
        <w:rPr>
          <w:sz w:val="23"/>
          <w:szCs w:val="23"/>
        </w:rPr>
        <w:t>Frontal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Alpha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Asymmetry</w:t>
      </w:r>
      <w:proofErr w:type="spellEnd"/>
      <w:r>
        <w:rPr>
          <w:sz w:val="23"/>
          <w:szCs w:val="23"/>
        </w:rPr>
        <w:t xml:space="preserve"> (FAA) — wskazując na podwyższone pobudzenie korowe i stan gotowości do działania. H2 przewiduje wyższą amplitudę oraz brak habituacji komponentu P300 w odpowiedzi na powiadomienie telefoniczne w grupie wysokiego FOMO, w porównaniu z grupą kontrolną, u której oczekuje się umiarkowanej i wygasającej reakcji orientacyjnej.</w:t>
      </w:r>
    </w:p>
    <w:p w14:paraId="324B2081" w14:textId="77777777" w:rsidR="002E6F08" w:rsidRDefault="00000000">
      <w:pPr>
        <w:spacing w:after="180"/>
        <w:jc w:val="both"/>
      </w:pPr>
      <w:r>
        <w:rPr>
          <w:sz w:val="23"/>
          <w:szCs w:val="23"/>
        </w:rPr>
        <w:t xml:space="preserve">Procedura badawcza obejmuje zadanie ciągłego wykonania (CPT) jako </w:t>
      </w:r>
      <w:proofErr w:type="spellStart"/>
      <w:r>
        <w:rPr>
          <w:sz w:val="23"/>
          <w:szCs w:val="23"/>
        </w:rPr>
        <w:t>task</w:t>
      </w:r>
      <w:proofErr w:type="spellEnd"/>
      <w:r>
        <w:rPr>
          <w:sz w:val="23"/>
          <w:szCs w:val="23"/>
        </w:rPr>
        <w:t xml:space="preserve"> angażujący uwagę, w trakcie którego w tle emitowane są trzy kategorie bodźców dźwiękowych: kluczowy (indywidualny dźwięk powiadomienia uczestnika), neutralny (ton systemowy) oraz kontrolny (dźwięk natury). Synchronizacja bodźców z zapisem EEG zapewniona jest przez USB </w:t>
      </w:r>
      <w:proofErr w:type="spellStart"/>
      <w:r>
        <w:rPr>
          <w:sz w:val="23"/>
          <w:szCs w:val="23"/>
        </w:rPr>
        <w:t>Trigger</w:t>
      </w:r>
      <w:proofErr w:type="spellEnd"/>
      <w:r>
        <w:rPr>
          <w:sz w:val="23"/>
          <w:szCs w:val="23"/>
        </w:rPr>
        <w:t xml:space="preserve"> Box (precyzja &lt;1 ms). Analiza danych obejmie ekstrakcję komponentu P300 (elektrody </w:t>
      </w:r>
      <w:proofErr w:type="spellStart"/>
      <w:r>
        <w:rPr>
          <w:sz w:val="23"/>
          <w:szCs w:val="23"/>
        </w:rPr>
        <w:t>Pz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Cz</w:t>
      </w:r>
      <w:proofErr w:type="spellEnd"/>
      <w:r>
        <w:rPr>
          <w:sz w:val="23"/>
          <w:szCs w:val="23"/>
        </w:rPr>
        <w:t xml:space="preserve">; okno 300–500 ms) oraz obliczenie gęstości widmowej mocy (PSD) w paśmie alfa (8–12 </w:t>
      </w:r>
      <w:proofErr w:type="spellStart"/>
      <w:r>
        <w:rPr>
          <w:sz w:val="23"/>
          <w:szCs w:val="23"/>
        </w:rPr>
        <w:t>Hz</w:t>
      </w:r>
      <w:proofErr w:type="spellEnd"/>
      <w:r>
        <w:rPr>
          <w:sz w:val="23"/>
          <w:szCs w:val="23"/>
        </w:rPr>
        <w:t>) na elektrodach czołowych F3 i F4.</w:t>
      </w:r>
    </w:p>
    <w:p w14:paraId="072AC2B8" w14:textId="77777777" w:rsidR="002E6F08" w:rsidRDefault="00000000">
      <w:pPr>
        <w:jc w:val="both"/>
      </w:pPr>
      <w:r>
        <w:rPr>
          <w:sz w:val="23"/>
          <w:szCs w:val="23"/>
        </w:rPr>
        <w:t xml:space="preserve">Projekt wnosi istotny wkład metodologiczny do badań nad FOMO, dostarczając pierwszych bezpośrednich danych elektrofizjologicznych pozwalających powiązać subiektywnie raportowany lęk przed wykluczeniem z mierzalnymi wzorcami aktywności mózgu. Wyniki mogą stanowić podstawę dla przyszłych interwencji neuropsychologicznych ukierunkowanych na redukcję kompulsywnych </w:t>
      </w:r>
      <w:proofErr w:type="spellStart"/>
      <w:r>
        <w:rPr>
          <w:sz w:val="23"/>
          <w:szCs w:val="23"/>
        </w:rPr>
        <w:t>zachowań</w:t>
      </w:r>
      <w:proofErr w:type="spellEnd"/>
      <w:r>
        <w:rPr>
          <w:sz w:val="23"/>
          <w:szCs w:val="23"/>
        </w:rPr>
        <w:t xml:space="preserve"> cyfrowych.</w:t>
      </w:r>
    </w:p>
    <w:p w14:paraId="0E7CB5C2" w14:textId="77777777" w:rsidR="002E6F08" w:rsidRDefault="00000000">
      <w:pPr>
        <w:spacing w:before="280" w:after="60"/>
      </w:pPr>
      <w:r>
        <w:rPr>
          <w:b/>
          <w:bCs/>
          <w:color w:val="2C2C6E"/>
          <w:sz w:val="22"/>
          <w:szCs w:val="22"/>
        </w:rPr>
        <w:t xml:space="preserve">Słowa kluczowe: </w:t>
      </w:r>
      <w:r>
        <w:rPr>
          <w:color w:val="4A4A7A"/>
          <w:sz w:val="22"/>
          <w:szCs w:val="22"/>
        </w:rPr>
        <w:t xml:space="preserve">FOMO · EEG · P300 · </w:t>
      </w:r>
      <w:proofErr w:type="spellStart"/>
      <w:r>
        <w:rPr>
          <w:color w:val="4A4A7A"/>
          <w:sz w:val="22"/>
          <w:szCs w:val="22"/>
        </w:rPr>
        <w:t>Frontal</w:t>
      </w:r>
      <w:proofErr w:type="spellEnd"/>
      <w:r>
        <w:rPr>
          <w:color w:val="4A4A7A"/>
          <w:sz w:val="22"/>
          <w:szCs w:val="22"/>
        </w:rPr>
        <w:t xml:space="preserve"> </w:t>
      </w:r>
      <w:proofErr w:type="spellStart"/>
      <w:r>
        <w:rPr>
          <w:color w:val="4A4A7A"/>
          <w:sz w:val="22"/>
          <w:szCs w:val="22"/>
        </w:rPr>
        <w:t>Alpha</w:t>
      </w:r>
      <w:proofErr w:type="spellEnd"/>
      <w:r>
        <w:rPr>
          <w:color w:val="4A4A7A"/>
          <w:sz w:val="22"/>
          <w:szCs w:val="22"/>
        </w:rPr>
        <w:t xml:space="preserve"> </w:t>
      </w:r>
      <w:proofErr w:type="spellStart"/>
      <w:r>
        <w:rPr>
          <w:color w:val="4A4A7A"/>
          <w:sz w:val="22"/>
          <w:szCs w:val="22"/>
        </w:rPr>
        <w:t>Asymmetry</w:t>
      </w:r>
      <w:proofErr w:type="spellEnd"/>
      <w:r>
        <w:rPr>
          <w:color w:val="4A4A7A"/>
          <w:sz w:val="22"/>
          <w:szCs w:val="22"/>
        </w:rPr>
        <w:t xml:space="preserve"> · potencjały wywołane · </w:t>
      </w:r>
      <w:proofErr w:type="spellStart"/>
      <w:r>
        <w:rPr>
          <w:color w:val="4A4A7A"/>
          <w:sz w:val="22"/>
          <w:szCs w:val="22"/>
        </w:rPr>
        <w:t>neuronauka</w:t>
      </w:r>
      <w:proofErr w:type="spellEnd"/>
      <w:r>
        <w:rPr>
          <w:color w:val="4A4A7A"/>
          <w:sz w:val="22"/>
          <w:szCs w:val="22"/>
        </w:rPr>
        <w:t xml:space="preserve"> poznawcza · media społecznościowe · kompulsywne używanie </w:t>
      </w:r>
      <w:proofErr w:type="spellStart"/>
      <w:r>
        <w:rPr>
          <w:color w:val="4A4A7A"/>
          <w:sz w:val="22"/>
          <w:szCs w:val="22"/>
        </w:rPr>
        <w:t>smartfona</w:t>
      </w:r>
      <w:proofErr w:type="spellEnd"/>
    </w:p>
    <w:sectPr w:rsidR="002E6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BFD"/>
    <w:multiLevelType w:val="hybridMultilevel"/>
    <w:tmpl w:val="8AA44CC6"/>
    <w:lvl w:ilvl="0" w:tplc="9AF06F48">
      <w:start w:val="1"/>
      <w:numFmt w:val="bullet"/>
      <w:lvlText w:val="●"/>
      <w:lvlJc w:val="left"/>
      <w:pPr>
        <w:ind w:left="720" w:hanging="360"/>
      </w:pPr>
    </w:lvl>
    <w:lvl w:ilvl="1" w:tplc="A06831CA">
      <w:start w:val="1"/>
      <w:numFmt w:val="bullet"/>
      <w:lvlText w:val="○"/>
      <w:lvlJc w:val="left"/>
      <w:pPr>
        <w:ind w:left="1440" w:hanging="360"/>
      </w:pPr>
    </w:lvl>
    <w:lvl w:ilvl="2" w:tplc="923ED724">
      <w:start w:val="1"/>
      <w:numFmt w:val="bullet"/>
      <w:lvlText w:val="■"/>
      <w:lvlJc w:val="left"/>
      <w:pPr>
        <w:ind w:left="2160" w:hanging="360"/>
      </w:pPr>
    </w:lvl>
    <w:lvl w:ilvl="3" w:tplc="345C0064">
      <w:start w:val="1"/>
      <w:numFmt w:val="bullet"/>
      <w:lvlText w:val="●"/>
      <w:lvlJc w:val="left"/>
      <w:pPr>
        <w:ind w:left="2880" w:hanging="360"/>
      </w:pPr>
    </w:lvl>
    <w:lvl w:ilvl="4" w:tplc="3566E600">
      <w:start w:val="1"/>
      <w:numFmt w:val="bullet"/>
      <w:lvlText w:val="○"/>
      <w:lvlJc w:val="left"/>
      <w:pPr>
        <w:ind w:left="3600" w:hanging="360"/>
      </w:pPr>
    </w:lvl>
    <w:lvl w:ilvl="5" w:tplc="1174E858">
      <w:start w:val="1"/>
      <w:numFmt w:val="bullet"/>
      <w:lvlText w:val="■"/>
      <w:lvlJc w:val="left"/>
      <w:pPr>
        <w:ind w:left="4320" w:hanging="360"/>
      </w:pPr>
    </w:lvl>
    <w:lvl w:ilvl="6" w:tplc="2A3CBCAE">
      <w:start w:val="1"/>
      <w:numFmt w:val="bullet"/>
      <w:lvlText w:val="●"/>
      <w:lvlJc w:val="left"/>
      <w:pPr>
        <w:ind w:left="5040" w:hanging="360"/>
      </w:pPr>
    </w:lvl>
    <w:lvl w:ilvl="7" w:tplc="00EA5482">
      <w:start w:val="1"/>
      <w:numFmt w:val="bullet"/>
      <w:lvlText w:val="●"/>
      <w:lvlJc w:val="left"/>
      <w:pPr>
        <w:ind w:left="5760" w:hanging="360"/>
      </w:pPr>
    </w:lvl>
    <w:lvl w:ilvl="8" w:tplc="9946BE18">
      <w:start w:val="1"/>
      <w:numFmt w:val="bullet"/>
      <w:lvlText w:val="●"/>
      <w:lvlJc w:val="left"/>
      <w:pPr>
        <w:ind w:left="6480" w:hanging="360"/>
      </w:pPr>
    </w:lvl>
  </w:abstractNum>
  <w:num w:numId="1" w16cid:durableId="1075008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08"/>
    <w:rsid w:val="002D6387"/>
    <w:rsid w:val="002E6F08"/>
    <w:rsid w:val="0059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7B09D"/>
  <w15:docId w15:val="{AC1647FA-286A-46DF-BDF1-FA0D41D8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after="120"/>
      <w:outlineLvl w:val="0"/>
    </w:pPr>
    <w:rPr>
      <w:b/>
      <w:bCs/>
      <w:sz w:val="52"/>
      <w:szCs w:val="52"/>
    </w:rPr>
  </w:style>
  <w:style w:type="paragraph" w:styleId="Nagwek2">
    <w:name w:val="heading 2"/>
    <w:uiPriority w:val="9"/>
    <w:unhideWhenUsed/>
    <w:qFormat/>
    <w:pPr>
      <w:spacing w:before="400" w:after="160"/>
      <w:outlineLvl w:val="1"/>
    </w:pPr>
    <w:rPr>
      <w:b/>
      <w:bCs/>
      <w:sz w:val="32"/>
      <w:szCs w:val="32"/>
    </w:rPr>
  </w:style>
  <w:style w:type="paragraph" w:styleId="Nagwek3">
    <w:name w:val="heading 3"/>
    <w:uiPriority w:val="9"/>
    <w:semiHidden/>
    <w:unhideWhenUsed/>
    <w:qFormat/>
    <w:pPr>
      <w:spacing w:before="280" w:after="100"/>
      <w:outlineLvl w:val="2"/>
    </w:pPr>
    <w:rPr>
      <w:b/>
      <w:bCs/>
      <w:color w:val="2C2C6E"/>
      <w:sz w:val="26"/>
      <w:szCs w:val="26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563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Oliwia Satora</cp:lastModifiedBy>
  <cp:revision>2</cp:revision>
  <dcterms:created xsi:type="dcterms:W3CDTF">2026-06-09T13:09:00Z</dcterms:created>
  <dcterms:modified xsi:type="dcterms:W3CDTF">2026-06-09T13:13:00Z</dcterms:modified>
</cp:coreProperties>
</file>