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7a7a9d"/>
          <w:spacing w:val="40"/>
          <w:sz w:val="18"/>
          <w:szCs w:val="18"/>
        </w:rPr>
        <w:t xml:space="preserve">02  /  CEL, PYTANIE BADAWCZE I HIPOTEZY</w:t>
      </w:r>
    </w:p>
    <w:p>
      <w:pPr>
        <w:pStyle w:val="Heading1"/>
      </w:pPr>
      <w:r>
        <w:rPr>
          <w:rFonts w:ascii="Arial" w:cs="Arial" w:eastAsia="Arial" w:hAnsi="Arial"/>
          <w:b/>
          <w:bCs/>
          <w:color w:val="1a1a2e"/>
          <w:sz w:val="36"/>
          <w:szCs w:val="36"/>
        </w:rPr>
        <w:t xml:space="preserve">Cel, pytanie badawcze i hipotezy</w:t>
      </w:r>
    </w:p>
    <w:p>
      <w:pPr>
        <w:pStyle w:val="Heading2"/>
      </w:pPr>
      <w:r>
        <w:rPr>
          <w:rFonts w:ascii="Arial" w:cs="Arial" w:eastAsia="Arial" w:hAnsi="Arial"/>
          <w:b/>
          <w:bCs/>
          <w:color w:val="2c2c6e"/>
          <w:sz w:val="26"/>
          <w:szCs w:val="26"/>
        </w:rPr>
        <w:t xml:space="preserve">Cel badania</w:t>
      </w:r>
    </w:p>
    <w:p>
      <w:pPr>
        <w:spacing w:after="200" w:before="0"/>
        <w:jc w:val="both"/>
      </w:pPr>
      <w:r>
        <w:rPr>
          <w:rFonts w:ascii="Arial" w:cs="Arial" w:eastAsia="Arial" w:hAnsi="Arial"/>
          <w:color w:val="1a1a2e"/>
          <w:sz w:val="23"/>
          <w:szCs w:val="23"/>
        </w:rPr>
        <w:t xml:space="preserve">Niniejszy projekt ma na celu identyfikację neuronalnych korelatów zjawiska FOMO poprzez obiektywny pomiar aktywności bioelektrycznej mózgu w warunkach ekspozycji na cyfrowe bodźce dźwiękowe. Za pomocą 64-kanałowego systemu EEG projekt zmierza do precyzyjnego określenia, które obszary mózgu i jakie wzorce fal elektrycznych aktywują się u osób z wysokim i niskim poziomem FOMO w momencie usłyszenia powiadomienia z mediów społecznościowych — przy jednoczesnym braku możliwości sprawdzenia telefonu. Wyniki mają stanowić pierwszy bezpośredni most między subiektywnie raportowanym lękiem a jego mierzalnymi elektrofizjologicznymi odpowiednikami.</w:t>
      </w:r>
    </w:p>
    <w:p>
      <w:pPr>
        <w:pStyle w:val="Heading2"/>
      </w:pPr>
      <w:r>
        <w:rPr>
          <w:rFonts w:ascii="Arial" w:cs="Arial" w:eastAsia="Arial" w:hAnsi="Arial"/>
          <w:b/>
          <w:bCs/>
          <w:color w:val="2c2c6e"/>
          <w:sz w:val="26"/>
          <w:szCs w:val="26"/>
        </w:rPr>
        <w:t xml:space="preserve">Pytanie badawcze</w:t>
      </w:r>
    </w:p>
    <w:p>
      <w:pPr>
        <w:spacing w:after="60" w:before="0"/>
        <w:jc w:val="both"/>
      </w:pPr>
      <w:r>
        <w:rPr>
          <w:rFonts w:ascii="Arial" w:cs="Arial" w:eastAsia="Arial" w:hAnsi="Arial"/>
          <w:i/>
          <w:iCs/>
          <w:color w:val="1a1a2e"/>
          <w:sz w:val="23"/>
          <w:szCs w:val="23"/>
        </w:rPr>
        <w:t xml:space="preserve">Jak znane dźwiękowe powiadomienia z mediów społecznościowych wpływają na aktywność bioelektryczną mózgu u osób o wysokim i niskim poziomie FOMO, gdy nie mają one możliwości sprawdzenia swojego telefonu?</w:t>
      </w:r>
    </w:p>
    <w:p>
      <w:pPr>
        <w:spacing w:after="200" w:before="0"/>
        <w:jc w:val="both"/>
      </w:pPr>
      <w:r>
        <w:rPr>
          <w:rFonts w:ascii="Arial" w:cs="Arial" w:eastAsia="Arial" w:hAnsi="Arial"/>
          <w:color w:val="1a1a2e"/>
          <w:sz w:val="23"/>
          <w:szCs w:val="23"/>
        </w:rPr>
        <w:t xml:space="preserve">Pytanie to operacjonalizuje problem na dwóch poziomach: różnicy grupowej (wysokie vs. niskie FOMO) oraz specyfiki bodźca (powiadomienie vs. ton neutralny vs. dźwięk natury). Pozwala to oddzielić efekt ogólnej reaktywności na dźwięki od efektu semantycznego znaczenia powiadomienia jako sygnału potencjalnego wykluczenia społecznego.</w:t>
      </w:r>
    </w:p>
    <w:p>
      <w:pPr>
        <w:pStyle w:val="Heading2"/>
      </w:pPr>
      <w:r>
        <w:rPr>
          <w:rFonts w:ascii="Arial" w:cs="Arial" w:eastAsia="Arial" w:hAnsi="Arial"/>
          <w:b/>
          <w:bCs/>
          <w:color w:val="2c2c6e"/>
          <w:sz w:val="26"/>
          <w:szCs w:val="26"/>
        </w:rPr>
        <w:t xml:space="preserve">Hipotezy badawcze</w:t>
      </w:r>
    </w:p>
    <w:p>
      <w:pPr>
        <w:spacing w:after="80" w:before="0"/>
      </w:pPr>
      <w:r>
        <w:rPr>
          <w:rFonts w:ascii="Arial" w:cs="Arial" w:eastAsia="Arial" w:hAnsi="Arial"/>
          <w:b/>
          <w:bCs/>
          <w:color w:val="1a1a2e"/>
          <w:sz w:val="24"/>
          <w:szCs w:val="24"/>
        </w:rPr>
        <w:t xml:space="preserve">H1 — Asymetria czołowa fal alfa (FAA)</w:t>
      </w:r>
    </w:p>
    <w:p>
      <w:pPr>
        <w:spacing w:after="60" w:before="0"/>
        <w:jc w:val="both"/>
      </w:pPr>
      <w:r>
        <w:rPr>
          <w:rFonts w:ascii="Arial" w:cs="Arial" w:eastAsia="Arial" w:hAnsi="Arial"/>
          <w:color w:val="1a1a2e"/>
          <w:sz w:val="23"/>
          <w:szCs w:val="23"/>
        </w:rPr>
        <w:t xml:space="preserve">Usłyszenie dźwięku powiadomienia wywoła u osób z wysokim FOMO istotnie silniejszy spadek mocy fal alfa w lewej korze czołowej w porównaniu do grupy z niskim FOMO, mierzony wskaźnikiem Frontal Alpha Asymmetry (FAA) na elektrodach F3 i F4.</w:t>
      </w:r>
    </w:p>
    <w:p>
      <w:pPr>
        <w:spacing w:after="200" w:before="0"/>
        <w:jc w:val="both"/>
      </w:pPr>
      <w:r>
        <w:rPr>
          <w:rFonts w:ascii="Arial" w:cs="Arial" w:eastAsia="Arial" w:hAnsi="Arial"/>
          <w:i/>
          <w:iCs/>
          <w:color w:val="4a4a7a"/>
          <w:sz w:val="22"/>
          <w:szCs w:val="22"/>
        </w:rPr>
        <w:t xml:space="preserve">Desynchronizacja fal alfa w lewej półkuli czołowej oznacza odhamowanie aktywności korowej — stan podwyższonego pobudzenia i gotowości do działania, interpretowany jako frustracja wynikająca z niemożności sprawdzenia telefonu.</w:t>
      </w:r>
    </w:p>
    <w:p>
      <w:pPr>
        <w:spacing w:after="80" w:before="0"/>
      </w:pPr>
      <w:r>
        <w:rPr>
          <w:rFonts w:ascii="Arial" w:cs="Arial" w:eastAsia="Arial" w:hAnsi="Arial"/>
          <w:b/>
          <w:bCs/>
          <w:color w:val="1a1a2e"/>
          <w:sz w:val="24"/>
          <w:szCs w:val="24"/>
        </w:rPr>
        <w:t xml:space="preserve">H2 — Amplituda komponentu P300</w:t>
      </w:r>
    </w:p>
    <w:p>
      <w:pPr>
        <w:spacing w:after="60" w:before="0"/>
        <w:jc w:val="both"/>
      </w:pPr>
      <w:r>
        <w:rPr>
          <w:rFonts w:ascii="Arial" w:cs="Arial" w:eastAsia="Arial" w:hAnsi="Arial"/>
          <w:color w:val="1a1a2e"/>
          <w:sz w:val="23"/>
          <w:szCs w:val="23"/>
        </w:rPr>
        <w:t xml:space="preserve">Osoby o wysokim poziomie FOMO wykażą istotnie wyższą amplitudę fali P300 oraz brak jej habituacji w odpowiedzi na kolejne powtórzenia powiadomienia telefonicznego, w porównaniu do osób z niskim FOMO, u których oczekuje się umiarkowanej i systematycznie wygasającej reakcji orientacyjnej.</w:t>
      </w:r>
    </w:p>
    <w:p>
      <w:pPr>
        <w:spacing w:after="200" w:before="0"/>
        <w:jc w:val="both"/>
      </w:pPr>
      <w:r>
        <w:rPr>
          <w:rFonts w:ascii="Arial" w:cs="Arial" w:eastAsia="Arial" w:hAnsi="Arial"/>
          <w:i/>
          <w:iCs/>
          <w:color w:val="4a4a7a"/>
          <w:sz w:val="22"/>
          <w:szCs w:val="22"/>
        </w:rPr>
        <w:t xml:space="preserve">Wysoka i niemalejąca amplituda P300 wskazuje na to, że mózg osób z wysokim FOMO traktuje każde kolejne powiadomienie jako bodziec o wysokim priorytecie uwagowym — nie dochodzi do wygaszenia reakcji orientacyjnej, które u osób z niskim FOMO pojawia się naturalnie.</w:t>
      </w:r>
    </w:p>
    <w:p>
      <w:pPr>
        <w:spacing w:after="80" w:before="0"/>
      </w:pPr>
      <w:r>
        <w:rPr>
          <w:rFonts w:ascii="Arial" w:cs="Arial" w:eastAsia="Arial" w:hAnsi="Arial"/>
          <w:b/>
          <w:bCs/>
          <w:color w:val="1a1a2e"/>
          <w:sz w:val="24"/>
          <w:szCs w:val="24"/>
        </w:rPr>
        <w:t xml:space="preserve">H0 — Hipoteza zerowa</w:t>
      </w:r>
    </w:p>
    <w:p>
      <w:pPr>
        <w:spacing w:after="200" w:before="0"/>
        <w:jc w:val="both"/>
      </w:pPr>
      <w:r>
        <w:rPr>
          <w:rFonts w:ascii="Arial" w:cs="Arial" w:eastAsia="Arial" w:hAnsi="Arial"/>
          <w:color w:val="1a1a2e"/>
          <w:sz w:val="23"/>
          <w:szCs w:val="23"/>
        </w:rPr>
        <w:t xml:space="preserve">Poziom FOMO nie różnicuje wzorców aktywności bioelektrycznej mózgu w odpowiedzi na dźwiękowe powiadomienia z mediów społecznościowych. Zarówno moc fal alfa w korze czołowej (wskaźnik FAA), jak i amplituda komponentu P300 nie wykazują istotnych statystycznie różnic między grupą wysokiego i niskiego FOMO. Ewentualne różnice mieszczą się w granicach błędu pomiarowego i nie pozwalają na wnioskowanie o neuronalnych korelatach FOMO.</w:t>
      </w:r>
    </w:p>
    <w:p>
      <w:pPr>
        <w:pStyle w:val="Heading2"/>
      </w:pPr>
      <w:r>
        <w:rPr>
          <w:rFonts w:ascii="Arial" w:cs="Arial" w:eastAsia="Arial" w:hAnsi="Arial"/>
          <w:b/>
          <w:bCs/>
          <w:color w:val="2c2c6e"/>
          <w:sz w:val="26"/>
          <w:szCs w:val="26"/>
        </w:rPr>
        <w:t xml:space="preserve">Czym są fale alfa i wskaźnik FAA?</w:t>
      </w:r>
    </w:p>
    <w:p>
      <w:pPr>
        <w:spacing w:after="200" w:before="0"/>
        <w:jc w:val="both"/>
      </w:pPr>
      <w:r>
        <w:rPr>
          <w:rFonts w:ascii="Arial" w:cs="Arial" w:eastAsia="Arial" w:hAnsi="Arial"/>
          <w:color w:val="1a1a2e"/>
          <w:sz w:val="23"/>
          <w:szCs w:val="23"/>
        </w:rPr>
        <w:t xml:space="preserve">Fale alfa to oscylacje bioelektryczne mózgu w zakresie 8–12 Hz, rejestrowane przede wszystkim w okolicach czołowych i ciemieniowych. Ich obecność i moc są odwrotnie proporcjonalne do poziomu pobudzenia korowego: wysoka moc alfa oznacza stan spoczynku lub wyciszenia aktywności danego obszaru, natomiast spadek mocy alfa — zwany desynchronizacją — sygnalizuje aktywację i przetwarzanie poznawcze. Wskaźnik Frontal Alpha Asymmetry (FAA) obliczany jest jako różnica logarytmów mocy między prawą a lewą elektrodą czołową: FAA = ln(Moc F4) − ln(Moc F3). Wartość ujemna FAA (niższa moc po lewej stronie) wskazuje na dominację lewej półkuli, co wiązane jest z motywacją do działania i podejściem — stanem szczególnie istotnym dla interpretacji reakcji na zablokowane powiadomienie.</w:t>
      </w:r>
    </w:p>
    <w:p>
      <w:pPr>
        <w:pStyle w:val="Heading2"/>
      </w:pPr>
      <w:r>
        <w:rPr>
          <w:rFonts w:ascii="Arial" w:cs="Arial" w:eastAsia="Arial" w:hAnsi="Arial"/>
          <w:b/>
          <w:bCs/>
          <w:color w:val="2c2c6e"/>
          <w:sz w:val="26"/>
          <w:szCs w:val="26"/>
        </w:rPr>
        <w:t xml:space="preserve">Czym jest komponent P300?</w:t>
      </w:r>
    </w:p>
    <w:p>
      <w:pPr>
        <w:spacing w:after="200" w:before="0"/>
        <w:jc w:val="both"/>
      </w:pPr>
      <w:r>
        <w:rPr>
          <w:rFonts w:ascii="Arial" w:cs="Arial" w:eastAsia="Arial" w:hAnsi="Arial"/>
          <w:color w:val="1a1a2e"/>
          <w:sz w:val="23"/>
          <w:szCs w:val="23"/>
        </w:rPr>
        <w:t xml:space="preserve">P300 to komponent potencjałów wywołanych (ERP — Event-Related Potentials), czyli fala elektryczna pojawiająca się w zapisie EEG około 300–500 milisekund po ekspozycji na bodziec rzadki lub istotny dla zadania. Rejestrowana jest głównie na elektrodach ciemieniowo-centralnych (Pz, Cz) i odzwierciedla procesy aktualizacji uwagi i pamięci roboczej — moment, w którym mózg ocenia znaczenie bodźca i decyduje o alokacji zasobów poznawczych. Amplituda P300 jest miarą ważności bodźca: im wyższe znaczenie przypisuje mu układ nerwowy, tym silniejsza fala. W kontekście niniejszego badania kluczowe jest to, że powiadomienie telefoniczne u osób z wysokim FOMO powinno generować silniejszy P300 niż u osób z niskim FOMO — co interpretuje się jako wskaźnik wyższego priorytetu uwagowego przypisywanego sygnałowi potencjalnego wykluczenia społecznego.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c2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2026-06-09T14:06:04.785Z</dcterms:created>
  <dcterms:modified xsi:type="dcterms:W3CDTF">2026-06-09T14:06:04.798Z</dcterms:modified>
</cp:coreProperties>
</file>

<file path=docProps/custom.xml><?xml version="1.0" encoding="utf-8"?>
<Properties xmlns="http://schemas.openxmlformats.org/officeDocument/2006/custom-properties" xmlns:vt="http://schemas.openxmlformats.org/officeDocument/2006/docPropsVTypes"/>
</file>