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7a7a9d"/>
          <w:spacing w:val="40"/>
          <w:sz w:val="18"/>
          <w:szCs w:val="18"/>
        </w:rPr>
        <w:t xml:space="preserve">03  /  METODOLOGIA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Metodologia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1 — Uczestnicy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Grupa badawcza liczy N = 40 uczestników w wieku 18–25 lat, wyłonionych metodą doboru skrajnego z większej próby studentów przebadanych kwestionariuszem FoMOs (Fear of Missing Out Scale; Przybylski i in., 2013). Na podstawie uzyskanych wyników do właściwego badania EEG zakwalifikowane zostają dwie równoliczne podgrupy: Grupa A (n = 20) — osoby z najwyższymi wynikami na skali, reprezentujące wysokie nasilenie FOMO, oraz Grupa B (n = 20) — osoby z najniższymi wynikami, reprezentujące niskie nasilenie FOMO. Dobór skrajny maksymalizuje wykrywalną różnicę między grupami, zwiększając moc statystyczną badania przy stosunkowo niewielkiej próbie.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23"/>
          <w:szCs w:val="23"/>
        </w:rPr>
        <w:t xml:space="preserve">Kryteria wykluczenia: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rozpoznane zaburzenia neurologiczne lub psychiatryczne (m.in. padaczka, ADHD, zaburzenia lękowe wymagające farmakoterapii)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regularne stosowanie substancji psychoaktywnych lub leków wpływających na aktywność OUN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wady wzroku lub słuchu nieskorygowane do normy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brak własnego smartfona z aktywnym kontem w mediach społecznościowych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nieregularne używanie mediów społecznościowych (mniej niż 7 dni w tygodniu)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wynik FoMOs w środkowym zakresie skali — uniemożliwiający jednoznaczne przypisanie do grupy skrajnej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2 — Aparatura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Rejestracja sygnału EEG odbywa się przy użyciu 64-kanałowego systemu firmy Brain Products, składającego się z czepka actiCAP slim z aktywnymi elektrodami żelowymi oraz wzmacniacza actiCHamp. System zapewnia wysoką rozdzielczość przestrzenną przy impedancji elektrod utrzymywanej poniżej 5 kΩ. Bodźce dźwiękowe generowane są przez oprogramowanie OpenSesame — narzędzie open source przeznaczone do projektowania eksperymentów psychologicznych. Synchronizacja prezentacji bodźców z zapisem EEG realizowana jest za pośrednictwem USB Trigger Box, który wysyła znaczniki czasowe z dokładnością poniżej 1 ms, eliminując jitter charakterystyczny dla transmisji Bluetooth. Podczas sesji uczestnik korzysta z własnego smartfona pracującego w trybie samolotowym, z wcześniej nagranym indywidualnym dźwiękiem powiadomienia.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3 — Procedura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Sesja badawcza przebiega w dwóch fazach. Faza przygotowawcza trwa szacunkowo 45–60 minut i obejmuje: zapoznanie uczestnika z procedurą oraz podpisanie świadomej zgody, założenie czepka EEG z nałożeniem żelu przewodzącego na każdą elektrodę, weryfikację impedancji oraz ustalenie indywidualnego dźwięku powiadomienia uczestnika, który posłuży jako bodziec kluczowy.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Właściwa sesja pomiarowa trwa 20 minut. Uczestnik wykonuje zadanie ciągłego wykonania (Continuous Performance Task, CPT) — reaguje na literę 'X' pojawiającą się na ekranie, co angażuje uwagę i uniemożliwia swobodne myślenie o telefonie. W tle emitowane są bodźce dźwiękowe zgodnie ze schematem pseudolosowym (zob. Blok 4). Przez cały czas trwania sesji uczestnik ma zakaz dotykania smartfona, który pozostaje widoczny w zasięgu wzroku, lecz w trybie samolotowym.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2c6e"/>
          <w:sz w:val="26"/>
          <w:szCs w:val="26"/>
        </w:rPr>
        <w:t xml:space="preserve">4 — Bodźce dźwiękowe i randomizacja</w:t>
      </w:r>
    </w:p>
    <w:p>
      <w:pPr>
        <w:spacing w:after="14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W trakcie sesji emitowane są trzy kategorie bodźców dźwiękowych: bodziec kluczowy — indywidualny dźwięk powiadomienia uczestnika z jego aplikacji mediów społecznościowych, nagrany przed sesją; bodziec neutralny — systemowy ton o podobnej głośności i czasie trwania; bodziec kontrolny — krótki dźwięk natury (np. śpiew ptaka). Każda kategoria prezentowana jest w równej liczbie powtórzeń.</w:t>
      </w:r>
    </w:p>
    <w:p>
      <w:pPr>
        <w:spacing w:after="200" w:before="0"/>
        <w:jc w:val="both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Kolejność bodźców wyznaczana jest algorytmem pseudolosowym generowanym przez OpenSesame oddzielnie dla każdego uczestnika. Schemat pseudolosowy gwarantuje dwa warunki jednocześnie: żaden bodziec nie pojawia się trzy razy z rzędu (co zapobiegałoby przewidywalności i habituacji wynikającej z sekwencji, a nie ze znaczenia bodźca), oraz każda z trzech kategorii pojawia się z równą częstością w pierwszej i drugiej połowie sesji (kontrola efektów kolejności). Odstępy między bodźcami są zmienne w zakresie 8–12 sekund (jittered ISI), co uniemożliwia antycypację czasową kolejnego sygnału.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2c2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2026-06-09T14:19:21.580Z</dcterms:created>
  <dcterms:modified xsi:type="dcterms:W3CDTF">2026-06-09T14:19:21.593Z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