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color w:val="7a7a9d"/>
          <w:spacing w:val="40"/>
          <w:sz w:val="18"/>
          <w:szCs w:val="18"/>
        </w:rPr>
        <w:t xml:space="preserve">04  /  OCZEKIWANE WYNIKI I ANALIZA DANYCH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Oczekiwane wyniki i analiza danych</w:t>
      </w:r>
    </w:p>
    <w:p>
      <w:pPr>
        <w:spacing w:after="200" w:before="0"/>
        <w:jc w:val="both"/>
      </w:pPr>
      <w:r>
        <w:rPr>
          <w:rFonts w:ascii="Arial" w:cs="Arial" w:eastAsia="Arial" w:hAnsi="Arial"/>
          <w:color w:val="1a1a2e"/>
          <w:sz w:val="23"/>
          <w:szCs w:val="23"/>
        </w:rPr>
        <w:t xml:space="preserve">Poniżej przedstawiono dwa główne wskaźniki analizy, oczekiwane wyniki w odniesieniu do postawionych hipotez, pipeline przetwarzania sygnału EEG, metody kontroli jakości danych oraz plan analizy statystycznej. Sekcja zamknięta jest uzasadnieniem liczebności próby na podstawie analizy mocy.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2c6e"/>
          <w:sz w:val="26"/>
          <w:szCs w:val="26"/>
        </w:rPr>
        <w:t xml:space="preserve">1 — Analiza komponentu P300 (ERP)</w:t>
      </w:r>
    </w:p>
    <w:p>
      <w:pPr>
        <w:spacing w:after="140" w:before="0"/>
        <w:jc w:val="both"/>
      </w:pPr>
      <w:r>
        <w:rPr>
          <w:rFonts w:ascii="Arial" w:cs="Arial" w:eastAsia="Arial" w:hAnsi="Arial"/>
          <w:color w:val="1a1a2e"/>
          <w:sz w:val="23"/>
          <w:szCs w:val="23"/>
        </w:rPr>
        <w:t xml:space="preserve">Komponent P300 ekstrahowany jest metodą uśredniania epok (epoch averaging) z elektrod ciemieniowo-centralnych Pz i Cz, w oknie czasowym 300–500 ms po emisji bodźca. Dla każdego uczestnika obliczana jest średnia amplituda P300 osobno dla trzech kategorii bodźców: kluczowego (powiadomienie), neutralnego (ton) i kontrolnego (natura). Kluczową miarą jest amplituda w odpowiedzi na bodziec kluczowy oraz jej zmiana w kolejnych blokach powtórzeń — wskaźnik habituacji lub jej braku.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1a1a2e"/>
          <w:sz w:val="23"/>
          <w:szCs w:val="23"/>
        </w:rPr>
        <w:t xml:space="preserve">Oczekiwany wzorzec wyników — H2</w:t>
      </w:r>
    </w:p>
    <w:p>
      <w:pPr>
        <w:spacing w:after="100" w:before="0"/>
        <w:jc w:val="both"/>
      </w:pPr>
      <w:r>
        <w:rPr>
          <w:rFonts w:ascii="Arial" w:cs="Arial" w:eastAsia="Arial" w:hAnsi="Arial"/>
          <w:color w:val="1a1a2e"/>
          <w:sz w:val="23"/>
          <w:szCs w:val="23"/>
        </w:rPr>
        <w:t xml:space="preserve">Zgodnie z hipotezą H2 przewiduje się, że: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3"/>
          <w:szCs w:val="23"/>
        </w:rPr>
        <w:t xml:space="preserve">Grupa High-FOMO: wysoka i stabilna amplituda P300 we wszystkich blokach powtórzeń — mózg niezmiennie traktuje powiadomienie jako bodziec wysokopriorytетowy, brak wygaszania reakcji orientacyjnej.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3"/>
          <w:szCs w:val="23"/>
        </w:rPr>
        <w:t xml:space="preserve">Grupa Low-FOMO: umiarkowana amplituda P300 w pierwszym bloku, systematycznie malejąca w kolejnych — klasyczna habituacja wskazująca na stopniowe obniżanie priorytetu uwagowego bodźca.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3"/>
          <w:szCs w:val="23"/>
        </w:rPr>
        <w:t xml:space="preserve">Dla bodźców neutralnego i kontrolnego: brak istotnych różnic między grupami — efekt specyficzny dla semantycznego znaczenia powiadomienia, nie dla dźwięków per se.</w:t>
      </w:r>
    </w:p>
    <w:p>
      <w:pPr>
        <w:spacing w:after="160" w:before="0"/>
      </w:pPr>
      <w:r>
        <w:t xml:space="preserve"/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7a7a9d"/>
          <w:sz w:val="21"/>
          <w:szCs w:val="21"/>
        </w:rPr>
        <w:t xml:space="preserve">Tabela 1. Oczekiwany wzorzec amplitud P300 (wartości przykładowe, schemat kierunkowy)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6e"/>
                <w:sz w:val="21"/>
                <w:szCs w:val="21"/>
              </w:rPr>
              <w:t xml:space="preserve">Bodziec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6e"/>
                <w:sz w:val="21"/>
                <w:szCs w:val="21"/>
              </w:rPr>
              <w:t xml:space="preserve">High-FOMO (blok 1)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6e"/>
                <w:sz w:val="21"/>
                <w:szCs w:val="21"/>
              </w:rPr>
              <w:t xml:space="preserve">High-FOMO (blok 3)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6e"/>
                <w:sz w:val="21"/>
                <w:szCs w:val="21"/>
              </w:rPr>
              <w:t xml:space="preserve">Low-FOMO (blok 1)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Powiadomienie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wysoka (~12 μV)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wysoka (~11 μV)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umiarkowana (~7 μV)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Ton neutralny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niska (~4 μV)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niska (~3 μV)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niska (~4 μV)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Natura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niska (~3 μV)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niska (~3 μV)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niska (~3 μV)</w:t>
            </w:r>
          </w:p>
        </w:tc>
      </w:tr>
    </w:tbl>
    <w:p>
      <w:pPr>
        <w:spacing w:after="280" w:before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2c6e"/>
          <w:sz w:val="26"/>
          <w:szCs w:val="26"/>
        </w:rPr>
        <w:t xml:space="preserve">2 — Analiza PSD fal alfa i wskaźnik FAA</w:t>
      </w:r>
    </w:p>
    <w:p>
      <w:pPr>
        <w:spacing w:after="140" w:before="0"/>
        <w:jc w:val="both"/>
      </w:pPr>
      <w:r>
        <w:rPr>
          <w:rFonts w:ascii="Arial" w:cs="Arial" w:eastAsia="Arial" w:hAnsi="Arial"/>
          <w:color w:val="1a1a2e"/>
          <w:sz w:val="23"/>
          <w:szCs w:val="23"/>
        </w:rPr>
        <w:t xml:space="preserve">Analiza częstotliwościowa polega na obliczeniu gęstości widmowej mocy (Power Spectral Density, PSD) w paśmie alfa 8–12 Hz na elektrodach czołowych F3 (lewa półkula) i F4 (prawa półkula). PSD obliczana jest metodą Welcha dla każdej epoki po emisji bodźca, następnie uśredniana wewnątrz uczestnika i porównywana między grupami.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1a1a2e"/>
          <w:sz w:val="23"/>
          <w:szCs w:val="23"/>
        </w:rPr>
        <w:t xml:space="preserve">Wzór na wskaźnik asymetrii czołowej FAA</w:t>
      </w:r>
    </w:p>
    <w:p>
      <w:pPr>
        <w:spacing w:after="60" w:before="100"/>
        <w:jc w:val="center"/>
      </w:pPr>
      <w:r>
        <w:rPr>
          <w:rFonts w:ascii="Arial" w:cs="Arial" w:eastAsia="Arial" w:hAnsi="Arial"/>
          <w:b/>
          <w:bCs/>
          <w:color w:val="2c2c6e"/>
          <w:sz w:val="28"/>
          <w:szCs w:val="28"/>
        </w:rPr>
        <w:t xml:space="preserve">FAA = ln(Moc F4) − ln(Moc F3)</w:t>
      </w:r>
    </w:p>
    <w:p>
      <w:pPr>
        <w:spacing w:after="180" w:before="0"/>
        <w:jc w:val="center"/>
      </w:pPr>
      <w:r>
        <w:rPr>
          <w:rFonts w:ascii="Arial" w:cs="Arial" w:eastAsia="Arial" w:hAnsi="Arial"/>
          <w:i/>
          <w:iCs/>
          <w:color w:val="7a7a9d"/>
          <w:sz w:val="21"/>
          <w:szCs w:val="21"/>
        </w:rPr>
        <w:t xml:space="preserve">gdzie Moc F3 i Moc F4 to średnie wartości PSD w paśmie alfa (8–12 Hz) na odpowiednich elektrodach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1a1a2e"/>
          <w:sz w:val="23"/>
          <w:szCs w:val="23"/>
        </w:rPr>
        <w:t xml:space="preserve">Interpretacja wskaźnika FAA</w:t>
      </w:r>
    </w:p>
    <w:p>
      <w:pPr>
        <w:spacing w:after="100" w:before="0"/>
        <w:jc w:val="both"/>
      </w:pPr>
      <w:r>
        <w:rPr>
          <w:rFonts w:ascii="Arial" w:cs="Arial" w:eastAsia="Arial" w:hAnsi="Arial"/>
          <w:color w:val="1a1a2e"/>
          <w:sz w:val="23"/>
          <w:szCs w:val="23"/>
        </w:rPr>
        <w:t xml:space="preserve">Logarytmowanie mocy przed obliczeniem różnicy normalizuje rozkład PSD i stabilizuje wariancję pomiaru. Interpretacja wartości FAA: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3"/>
          <w:szCs w:val="23"/>
        </w:rPr>
        <w:t xml:space="preserve">FAA &lt; 0 (niższa moc alfa po lewej): wyższa aktywacja lewej półkuli czołowej — stan motywacji do działania, frustracji lub dążenia. Oczekiwany u osób High-FOMO po usłyszeniu powiadomienia.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3"/>
          <w:szCs w:val="23"/>
        </w:rPr>
        <w:t xml:space="preserve">FAA &gt; 0 (niższa moc alfa po prawej): dominacja prawej półkuli — stan wycofania, unikania lub spokoju. Oczekiwany u osób Low-FOMO.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3"/>
          <w:szCs w:val="23"/>
        </w:rPr>
        <w:t xml:space="preserve">FAA ≈ 0: symetryczna aktywacja obu półkul — brak wyraźnej asymetrii emocjonalnej.</w:t>
      </w:r>
    </w:p>
    <w:p>
      <w:pPr>
        <w:spacing w:after="280" w:before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2c6e"/>
          <w:sz w:val="26"/>
          <w:szCs w:val="26"/>
        </w:rPr>
        <w:t xml:space="preserve">3 — Pipeline przetwarzania sygnału EEG</w:t>
      </w:r>
    </w:p>
    <w:p>
      <w:pPr>
        <w:spacing w:after="160" w:before="0"/>
        <w:jc w:val="both"/>
      </w:pPr>
      <w:r>
        <w:rPr>
          <w:rFonts w:ascii="Arial" w:cs="Arial" w:eastAsia="Arial" w:hAnsi="Arial"/>
          <w:color w:val="1a1a2e"/>
          <w:sz w:val="23"/>
          <w:szCs w:val="23"/>
        </w:rPr>
        <w:t xml:space="preserve">Przetwarzanie surowego sygnału EEG przebiega w ustalonym potoku analitycznym realizowanym w środowiskach MATLAB (EEGLAB) lub Python (MNE-Python). Kolejne etapy przedstawia poniższy flowchart: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c2c6e"/>
          <w:sz w:val="23"/>
          <w:szCs w:val="23"/>
        </w:rPr>
        <w:t xml:space="preserve">01  </w:t>
      </w:r>
      <w:r>
        <w:rPr>
          <w:rFonts w:ascii="Arial" w:cs="Arial" w:eastAsia="Arial" w:hAnsi="Arial"/>
          <w:b/>
          <w:bCs/>
          <w:color w:val="1a1a2e"/>
          <w:sz w:val="23"/>
          <w:szCs w:val="23"/>
        </w:rPr>
        <w:t xml:space="preserve">Wczytanie danych i import znaczników</w:t>
      </w:r>
    </w:p>
    <w:p>
      <w:pPr>
        <w:spacing w:after="60" w:before="0"/>
        <w:ind w:left="400"/>
        <w:jc w:val="both"/>
      </w:pPr>
      <w:r>
        <w:rPr>
          <w:rFonts w:ascii="Arial" w:cs="Arial" w:eastAsia="Arial" w:hAnsi="Arial"/>
          <w:color w:val="3a3a5c"/>
          <w:sz w:val="22"/>
          <w:szCs w:val="22"/>
        </w:rPr>
        <w:t xml:space="preserve">Wczytanie pliku .eeg/.vhdr (format Brain Products), import znaczników czasowych z USB Trigger Box, weryfikacja kompletności zapisu i synchronizacji bodźców.</w:t>
      </w:r>
    </w:p>
    <w:p>
      <w:pPr>
        <w:pBdr>
          <w:left w:val="single" w:color="CCCCEE" w:sz="8" w:space="8"/>
        </w:pBdr>
        <w:spacing w:after="120" w:before="0"/>
        <w:ind w:left="40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c2c6e"/>
          <w:sz w:val="23"/>
          <w:szCs w:val="23"/>
        </w:rPr>
        <w:t xml:space="preserve">02  </w:t>
      </w:r>
      <w:r>
        <w:rPr>
          <w:rFonts w:ascii="Arial" w:cs="Arial" w:eastAsia="Arial" w:hAnsi="Arial"/>
          <w:b/>
          <w:bCs/>
          <w:color w:val="1a1a2e"/>
          <w:sz w:val="23"/>
          <w:szCs w:val="23"/>
        </w:rPr>
        <w:t xml:space="preserve">Filtrowanie pasmowe</w:t>
      </w:r>
    </w:p>
    <w:p>
      <w:pPr>
        <w:spacing w:after="60" w:before="0"/>
        <w:ind w:left="400"/>
        <w:jc w:val="both"/>
      </w:pPr>
      <w:r>
        <w:rPr>
          <w:rFonts w:ascii="Arial" w:cs="Arial" w:eastAsia="Arial" w:hAnsi="Arial"/>
          <w:color w:val="3a3a5c"/>
          <w:sz w:val="22"/>
          <w:szCs w:val="22"/>
        </w:rPr>
        <w:t xml:space="preserve">Filtr górnoprzepustowy 0,1 Hz (usunięcie dryftu linii bazowej) oraz filtr dolnoprzepustowy 40 Hz (eliminacja szumów wysokoczęstotliwościowych i artefaktów mięśniowych). Opcjonalnie: filtr sieciowy 50 Hz.</w:t>
      </w:r>
    </w:p>
    <w:p>
      <w:pPr>
        <w:pBdr>
          <w:left w:val="single" w:color="CCCCEE" w:sz="8" w:space="8"/>
        </w:pBdr>
        <w:spacing w:after="120" w:before="0"/>
        <w:ind w:left="40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c2c6e"/>
          <w:sz w:val="23"/>
          <w:szCs w:val="23"/>
        </w:rPr>
        <w:t xml:space="preserve">03  </w:t>
      </w:r>
      <w:r>
        <w:rPr>
          <w:rFonts w:ascii="Arial" w:cs="Arial" w:eastAsia="Arial" w:hAnsi="Arial"/>
          <w:b/>
          <w:bCs/>
          <w:color w:val="1a1a2e"/>
          <w:sz w:val="23"/>
          <w:szCs w:val="23"/>
        </w:rPr>
        <w:t xml:space="preserve">Rereferencing</w:t>
      </w:r>
    </w:p>
    <w:p>
      <w:pPr>
        <w:spacing w:after="60" w:before="0"/>
        <w:ind w:left="400"/>
        <w:jc w:val="both"/>
      </w:pPr>
      <w:r>
        <w:rPr>
          <w:rFonts w:ascii="Arial" w:cs="Arial" w:eastAsia="Arial" w:hAnsi="Arial"/>
          <w:color w:val="3a3a5c"/>
          <w:sz w:val="22"/>
          <w:szCs w:val="22"/>
        </w:rPr>
        <w:t xml:space="preserve">Przeliczenie sygnału względem referencji średniej (average reference) — eliminuje wpływ wyboru elektrody referencyjnej na wynik. Alternatywnie: referencja połączonego sutka (linked mastoids).</w:t>
      </w:r>
    </w:p>
    <w:p>
      <w:pPr>
        <w:pBdr>
          <w:left w:val="single" w:color="CCCCEE" w:sz="8" w:space="8"/>
        </w:pBdr>
        <w:spacing w:after="120" w:before="0"/>
        <w:ind w:left="40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c2c6e"/>
          <w:sz w:val="23"/>
          <w:szCs w:val="23"/>
        </w:rPr>
        <w:t xml:space="preserve">04  </w:t>
      </w:r>
      <w:r>
        <w:rPr>
          <w:rFonts w:ascii="Arial" w:cs="Arial" w:eastAsia="Arial" w:hAnsi="Arial"/>
          <w:b/>
          <w:bCs/>
          <w:color w:val="1a1a2e"/>
          <w:sz w:val="23"/>
          <w:szCs w:val="23"/>
        </w:rPr>
        <w:t xml:space="preserve">Segmentacja na epoki</w:t>
      </w:r>
    </w:p>
    <w:p>
      <w:pPr>
        <w:spacing w:after="60" w:before="0"/>
        <w:ind w:left="400"/>
        <w:jc w:val="both"/>
      </w:pPr>
      <w:r>
        <w:rPr>
          <w:rFonts w:ascii="Arial" w:cs="Arial" w:eastAsia="Arial" w:hAnsi="Arial"/>
          <w:color w:val="3a3a5c"/>
          <w:sz w:val="22"/>
          <w:szCs w:val="22"/>
        </w:rPr>
        <w:t xml:space="preserve">Wycinanie odcinków sygnału: okno -200 ms do +800 ms względem znacznika bodźca. Baseline correction: normalizacja do okresu -200–0 ms przed bodźcem.</w:t>
      </w:r>
    </w:p>
    <w:p>
      <w:pPr>
        <w:pBdr>
          <w:left w:val="single" w:color="CCCCEE" w:sz="8" w:space="8"/>
        </w:pBdr>
        <w:spacing w:after="120" w:before="0"/>
        <w:ind w:left="40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c2c6e"/>
          <w:sz w:val="23"/>
          <w:szCs w:val="23"/>
        </w:rPr>
        <w:t xml:space="preserve">05  </w:t>
      </w:r>
      <w:r>
        <w:rPr>
          <w:rFonts w:ascii="Arial" w:cs="Arial" w:eastAsia="Arial" w:hAnsi="Arial"/>
          <w:b/>
          <w:bCs/>
          <w:color w:val="1a1a2e"/>
          <w:sz w:val="23"/>
          <w:szCs w:val="23"/>
        </w:rPr>
        <w:t xml:space="preserve">Kontrola jakości — ICA</w:t>
      </w:r>
    </w:p>
    <w:p>
      <w:pPr>
        <w:spacing w:after="60" w:before="0"/>
        <w:ind w:left="400"/>
        <w:jc w:val="both"/>
      </w:pPr>
      <w:r>
        <w:rPr>
          <w:rFonts w:ascii="Arial" w:cs="Arial" w:eastAsia="Arial" w:hAnsi="Arial"/>
          <w:color w:val="3a3a5c"/>
          <w:sz w:val="22"/>
          <w:szCs w:val="22"/>
        </w:rPr>
        <w:t xml:space="preserve">Analiza składowych niezależnych (Independent Component Analysis) w celu identyfikacji i usunięcia artefaktów: mrugnięć oczu (komponenty czołowe, korelat z kanałem EOG), ruchów gałek ocznych, napięcia mięśniowego, artefaktów sercowych (EKG). Odrzucenie komponentów artefaktycznych i rekonstrukcja sygnału.</w:t>
      </w:r>
    </w:p>
    <w:p>
      <w:pPr>
        <w:pBdr>
          <w:left w:val="single" w:color="CCCCEE" w:sz="8" w:space="8"/>
        </w:pBdr>
        <w:spacing w:after="120" w:before="0"/>
        <w:ind w:left="40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c2c6e"/>
          <w:sz w:val="23"/>
          <w:szCs w:val="23"/>
        </w:rPr>
        <w:t xml:space="preserve">06  </w:t>
      </w:r>
      <w:r>
        <w:rPr>
          <w:rFonts w:ascii="Arial" w:cs="Arial" w:eastAsia="Arial" w:hAnsi="Arial"/>
          <w:b/>
          <w:bCs/>
          <w:color w:val="1a1a2e"/>
          <w:sz w:val="23"/>
          <w:szCs w:val="23"/>
        </w:rPr>
        <w:t xml:space="preserve">Odrzucanie epok z artefaktami</w:t>
      </w:r>
    </w:p>
    <w:p>
      <w:pPr>
        <w:spacing w:after="60" w:before="0"/>
        <w:ind w:left="400"/>
        <w:jc w:val="both"/>
      </w:pPr>
      <w:r>
        <w:rPr>
          <w:rFonts w:ascii="Arial" w:cs="Arial" w:eastAsia="Arial" w:hAnsi="Arial"/>
          <w:color w:val="3a3a5c"/>
          <w:sz w:val="22"/>
          <w:szCs w:val="22"/>
        </w:rPr>
        <w:t xml:space="preserve">Automatyczne odrzucenie epok przekraczających próg amplitudy ±100 μV (surowy artefakt ruchowy). Epoki z &gt;30% odrzuconych próbek wyłączane z dalszej analizy. Minimalna liczba akceptowanych epok na warunek: 20.</w:t>
      </w:r>
    </w:p>
    <w:p>
      <w:pPr>
        <w:pBdr>
          <w:left w:val="single" w:color="CCCCEE" w:sz="8" w:space="8"/>
        </w:pBdr>
        <w:spacing w:after="120" w:before="0"/>
        <w:ind w:left="40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c2c6e"/>
          <w:sz w:val="23"/>
          <w:szCs w:val="23"/>
        </w:rPr>
        <w:t xml:space="preserve">07  </w:t>
      </w:r>
      <w:r>
        <w:rPr>
          <w:rFonts w:ascii="Arial" w:cs="Arial" w:eastAsia="Arial" w:hAnsi="Arial"/>
          <w:b/>
          <w:bCs/>
          <w:color w:val="1a1a2e"/>
          <w:sz w:val="23"/>
          <w:szCs w:val="23"/>
        </w:rPr>
        <w:t xml:space="preserve">Analiza ERP — uśrednianie</w:t>
      </w:r>
    </w:p>
    <w:p>
      <w:pPr>
        <w:spacing w:after="60" w:before="0"/>
        <w:ind w:left="400"/>
        <w:jc w:val="both"/>
      </w:pPr>
      <w:r>
        <w:rPr>
          <w:rFonts w:ascii="Arial" w:cs="Arial" w:eastAsia="Arial" w:hAnsi="Arial"/>
          <w:color w:val="3a3a5c"/>
          <w:sz w:val="22"/>
          <w:szCs w:val="22"/>
        </w:rPr>
        <w:t xml:space="preserve">Uśrednianie czystych epok osobno dla każdej kategorii bodźca i każdego uczestnika. Ekstrakcja amplitudy P300 jako wartości szczytowej w oknie 300–500 ms na elektrodach Pz i Cz.</w:t>
      </w:r>
    </w:p>
    <w:p>
      <w:pPr>
        <w:pBdr>
          <w:left w:val="single" w:color="CCCCEE" w:sz="8" w:space="8"/>
        </w:pBdr>
        <w:spacing w:after="120" w:before="0"/>
        <w:ind w:left="40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c2c6e"/>
          <w:sz w:val="23"/>
          <w:szCs w:val="23"/>
        </w:rPr>
        <w:t xml:space="preserve">08  </w:t>
      </w:r>
      <w:r>
        <w:rPr>
          <w:rFonts w:ascii="Arial" w:cs="Arial" w:eastAsia="Arial" w:hAnsi="Arial"/>
          <w:b/>
          <w:bCs/>
          <w:color w:val="1a1a2e"/>
          <w:sz w:val="23"/>
          <w:szCs w:val="23"/>
        </w:rPr>
        <w:t xml:space="preserve">Analiza PSD — obliczanie FAA</w:t>
      </w:r>
    </w:p>
    <w:p>
      <w:pPr>
        <w:spacing w:after="60" w:before="0"/>
        <w:ind w:left="400"/>
        <w:jc w:val="both"/>
      </w:pPr>
      <w:r>
        <w:rPr>
          <w:rFonts w:ascii="Arial" w:cs="Arial" w:eastAsia="Arial" w:hAnsi="Arial"/>
          <w:color w:val="3a3a5c"/>
          <w:sz w:val="22"/>
          <w:szCs w:val="22"/>
        </w:rPr>
        <w:t xml:space="preserve">Obliczenie gęstości widmowej mocy metodą Welcha (okno Hanninga, 50% overlap) dla pasm alfa (8–12 Hz) na F3 i F4. Obliczenie wskaźnika FAA = ln(Moc F4) − ln(Moc F3) dla każdego uczestnika i każdego warunku.</w:t>
      </w:r>
    </w:p>
    <w:p>
      <w:pPr>
        <w:pBdr>
          <w:left w:val="single" w:color="CCCCEE" w:sz="8" w:space="8"/>
        </w:pBdr>
        <w:spacing w:after="120" w:before="0"/>
        <w:ind w:left="40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c2c6e"/>
          <w:sz w:val="23"/>
          <w:szCs w:val="23"/>
        </w:rPr>
        <w:t xml:space="preserve">09  </w:t>
      </w:r>
      <w:r>
        <w:rPr>
          <w:rFonts w:ascii="Arial" w:cs="Arial" w:eastAsia="Arial" w:hAnsi="Arial"/>
          <w:b/>
          <w:bCs/>
          <w:color w:val="1a1a2e"/>
          <w:sz w:val="23"/>
          <w:szCs w:val="23"/>
        </w:rPr>
        <w:t xml:space="preserve">Analiza statystyczna</w:t>
      </w:r>
    </w:p>
    <w:p>
      <w:pPr>
        <w:spacing w:after="60" w:before="0"/>
        <w:ind w:left="400"/>
        <w:jc w:val="both"/>
      </w:pPr>
      <w:r>
        <w:rPr>
          <w:rFonts w:ascii="Arial" w:cs="Arial" w:eastAsia="Arial" w:hAnsi="Arial"/>
          <w:color w:val="3a3a5c"/>
          <w:sz w:val="22"/>
          <w:szCs w:val="22"/>
        </w:rPr>
        <w:t xml:space="preserve">Porównanie wskaźników P300 i FAA między grupami i warunkami zgodnie z planem opisanym w sekcji 5.</w:t>
      </w:r>
    </w:p>
    <w:p>
      <w:pPr>
        <w:pBdr>
          <w:left w:val="single" w:color="CCCCEE" w:sz="8" w:space="8"/>
        </w:pBdr>
        <w:spacing w:after="120" w:before="0"/>
        <w:ind w:left="4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2c6e"/>
          <w:sz w:val="26"/>
          <w:szCs w:val="26"/>
        </w:rPr>
        <w:t xml:space="preserve">4 — Kontrola jakości danych</w:t>
      </w:r>
    </w:p>
    <w:p>
      <w:pPr>
        <w:spacing w:after="140" w:before="0"/>
        <w:jc w:val="both"/>
      </w:pPr>
      <w:r>
        <w:rPr>
          <w:rFonts w:ascii="Arial" w:cs="Arial" w:eastAsia="Arial" w:hAnsi="Arial"/>
          <w:color w:val="1a1a2e"/>
          <w:sz w:val="23"/>
          <w:szCs w:val="23"/>
        </w:rPr>
        <w:t xml:space="preserve">Jakość danych EEG weryfikowana jest na trzech poziomach. Na poziomie akwizycji kontrolowana jest impedancja elektrod (&lt; 5 kΩ) przed każdą sesją oraz stabilność sygnału w 5-minutowym okresie spoczynku przed właściwym zadaniem. Na poziomie sygnału stosowane są automatyczne algorytmy detekcji artefaktów amplitudowych i częstotliwościowych. Na poziomie uczestnika sesja uznawana jest za niewypał i wyłączana z analizy, jeśli spełniony jest co najmniej jeden z warunków: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3"/>
          <w:szCs w:val="23"/>
        </w:rPr>
        <w:t xml:space="preserve">odsetek odrzuconych epok przekracza 30% w którymkolwiek warunku bodźcowym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3"/>
          <w:szCs w:val="23"/>
        </w:rPr>
        <w:t xml:space="preserve">impedancja więcej niż 10 elektrod przekroczyła próg 10 kΩ w trakcie sesji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3"/>
          <w:szCs w:val="23"/>
        </w:rPr>
        <w:t xml:space="preserve">uczestnik zgłosi dyskomfort lub przerwie zadanie przed upływem 15 minut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3"/>
          <w:szCs w:val="23"/>
        </w:rPr>
        <w:t xml:space="preserve">synchronizacja USB Trigger Box wykaże więcej niż 3 znaczniki z opóźnieniem &gt; 5 ms</w:t>
      </w:r>
    </w:p>
    <w:p>
      <w:pPr>
        <w:spacing w:after="200" w:before="140"/>
        <w:jc w:val="both"/>
      </w:pPr>
      <w:r>
        <w:rPr>
          <w:rFonts w:ascii="Arial" w:cs="Arial" w:eastAsia="Arial" w:hAnsi="Arial"/>
          <w:color w:val="1a1a2e"/>
          <w:sz w:val="23"/>
          <w:szCs w:val="23"/>
        </w:rPr>
        <w:t xml:space="preserve">Budżet przewiduje 5 sesji rezerwowych (niewypałów) na pokrycie tego ryzyka. W przypadku utraty danych uczestnika jego wynik w kwestiornariuszu FoMOs decyduje o zastąpieniu go kolejną osobą z listy rezerwowej, zachowując kryteria doboru skrajnego.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2c6e"/>
          <w:sz w:val="26"/>
          <w:szCs w:val="26"/>
        </w:rPr>
        <w:t xml:space="preserve">5 — Plan analizy statystycznej</w:t>
      </w:r>
    </w:p>
    <w:p>
      <w:pPr>
        <w:spacing w:after="140" w:before="0"/>
        <w:jc w:val="both"/>
      </w:pPr>
      <w:r>
        <w:rPr>
          <w:rFonts w:ascii="Arial" w:cs="Arial" w:eastAsia="Arial" w:hAnsi="Arial"/>
          <w:color w:val="1a1a2e"/>
          <w:sz w:val="23"/>
          <w:szCs w:val="23"/>
        </w:rPr>
        <w:t xml:space="preserve">Analiza statystyczna realizowana jest dwuetapowo — osobno dla wskaźnika P300 i wskaźnika FAA.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1a1a2e"/>
          <w:sz w:val="23"/>
          <w:szCs w:val="23"/>
        </w:rPr>
        <w:t xml:space="preserve">Analiza amplitudy P300</w:t>
      </w:r>
    </w:p>
    <w:p>
      <w:pPr>
        <w:spacing w:after="140" w:before="0"/>
        <w:jc w:val="both"/>
      </w:pPr>
      <w:r>
        <w:rPr>
          <w:rFonts w:ascii="Arial" w:cs="Arial" w:eastAsia="Arial" w:hAnsi="Arial"/>
          <w:color w:val="1a1a2e"/>
          <w:sz w:val="23"/>
          <w:szCs w:val="23"/>
        </w:rPr>
        <w:t xml:space="preserve">Dwuczynnikowa mieszana ANOVA (mixed-design ANOVA) z czynnikiem międzygrupowym Grupa (High-FOMO vs. Low-FOMO) i czynnikiem wewnątrzgrupowym Bodziec (powiadomienie, ton, natura) oraz Blok (1, 2, 3) jako miara habituacji. Efekt interakcji Grupa × Bodziec stanowi bezpośredni test hipotezy H2. W przypadku istotnego efektu głównego lub interakcji stosowane są testy post-hoc Bonferroniego z korektą na wielokrotne porównania.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1a1a2e"/>
          <w:sz w:val="23"/>
          <w:szCs w:val="23"/>
        </w:rPr>
        <w:t xml:space="preserve">Analiza wskaźnika FAA</w:t>
      </w:r>
    </w:p>
    <w:p>
      <w:pPr>
        <w:spacing w:after="200" w:before="0"/>
        <w:jc w:val="both"/>
      </w:pPr>
      <w:r>
        <w:rPr>
          <w:rFonts w:ascii="Arial" w:cs="Arial" w:eastAsia="Arial" w:hAnsi="Arial"/>
          <w:color w:val="1a1a2e"/>
          <w:sz w:val="23"/>
          <w:szCs w:val="23"/>
        </w:rPr>
        <w:t xml:space="preserve">Niezależny test t-Studenta (independent samples t-test) porównujący wartości FAA między grupą High-FOMO i Low-FOMO dla warunku bodźca kluczowego. Jako miarę wielkości efektu obliczane jest d Cohena. Dodatkowo: jednoczynnikowa ANOVA dla wszystkich trzech warunków bodźcowych wewnątrz każdej grupy, sprawdzająca czy efekt FAA jest specyficzny dla bodźca kluczowego. Przed wszystkimi testami parametrycznymi weryfikowane jest założenie normalności rozkładu (test Shapiro-Wilka) i jednorodności wariancji (test Levene'a).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2c6e"/>
          <w:sz w:val="26"/>
          <w:szCs w:val="26"/>
        </w:rPr>
        <w:t xml:space="preserve">6 — Analiza mocy i uzasadnienie N=40</w:t>
      </w:r>
    </w:p>
    <w:p>
      <w:pPr>
        <w:spacing w:after="140" w:before="0"/>
        <w:jc w:val="both"/>
      </w:pPr>
      <w:r>
        <w:rPr>
          <w:rFonts w:ascii="Arial" w:cs="Arial" w:eastAsia="Arial" w:hAnsi="Arial"/>
          <w:color w:val="1a1a2e"/>
          <w:sz w:val="23"/>
          <w:szCs w:val="23"/>
        </w:rPr>
        <w:t xml:space="preserve">Liczebność próby N=40 (po 20 osób w każdej grupie) wyznaczona została na podstawie analizy mocy a priori dla planowanego testu t-Studenta dla prób niezależnych (wskaźnik FAA) przy następujących założeniach: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3"/>
          <w:szCs w:val="23"/>
        </w:rPr>
        <w:t xml:space="preserve">Wielkość efektu: d = 0,80 (efekt duży wg klasyfikacji Cohena) — przyjęto na podstawie metaanaliz badań EEG różnicujących grupy kliniczne i kontrolne pod kątem reaktywności alfa; Wang i in. (2023) raportują d &gt; 0,75 dla różnic kortykalne w grupach wysokiego vs. niskiego FOMO.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3"/>
          <w:szCs w:val="23"/>
        </w:rPr>
        <w:t xml:space="preserve">Poziom istotności: α = 0,05 (dwustronny)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3"/>
          <w:szCs w:val="23"/>
        </w:rPr>
        <w:t xml:space="preserve">Moc statystyczna: 1−β = 0,80 (standardowy próg w naukach behawioralnych)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3"/>
          <w:szCs w:val="23"/>
        </w:rPr>
        <w:t xml:space="preserve">Obliczona minimalna liczebność grupy: n = 26 na grupę (N = 52 łącznie) dla efektu średniego (d = 0,60).</w:t>
      </w:r>
    </w:p>
    <w:p>
      <w:pPr>
        <w:spacing w:after="200" w:before="140"/>
        <w:jc w:val="both"/>
      </w:pPr>
      <w:r>
        <w:rPr>
          <w:rFonts w:ascii="Arial" w:cs="Arial" w:eastAsia="Arial" w:hAnsi="Arial"/>
          <w:color w:val="1a1a2e"/>
          <w:sz w:val="23"/>
          <w:szCs w:val="23"/>
        </w:rPr>
        <w:t xml:space="preserve">Przy założeniu dużego efektu (d = 0,80) minimalna wymagana liczebność wynosi n = 16 na grupę (N = 32), co oznacza, że przyjęte N=40 zapewnia moc 1−β ≈ 0,90 przy d = 0,80 — o 10 punktów procentowych powyżej standardowego progu. Dodatkowe 5 sesji rezerwowych w budżecie chroni przed utratą mocy w przypadku odrzucenia danych z powodów technicznych. Analiza mocy przeprowadzona została z użyciem oprogramowania G*Power 3.1.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400"/>
      <w:outlineLvl w:val="1"/>
    </w:pPr>
    <w:rPr>
      <w:rFonts w:ascii="Arial" w:cs="Arial" w:eastAsia="Arial" w:hAnsi="Arial"/>
      <w:b/>
      <w:bCs/>
      <w:color w:val="2c2c6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1a1a2e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2026-06-09T14:26:49.366Z</dcterms:created>
  <dcterms:modified xsi:type="dcterms:W3CDTF">2026-06-09T14:26:49.387Z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