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color w:val="7a7a9d"/>
          <w:spacing w:val="40"/>
          <w:sz w:val="18"/>
          <w:szCs w:val="18"/>
        </w:rPr>
        <w:t xml:space="preserve">05  /  BUDŻET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Budżet projektu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6e"/>
          <w:sz w:val="26"/>
          <w:szCs w:val="26"/>
        </w:rPr>
        <w:t xml:space="preserve">Zestawienie kosztów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26"/>
        <w:gridCol w:w="2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1"/>
                <w:szCs w:val="21"/>
              </w:rPr>
              <w:t xml:space="preserve">Pozycja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1"/>
                <w:szCs w:val="21"/>
              </w:rPr>
              <w:t xml:space="preserve">Opcja dostępu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1"/>
                <w:szCs w:val="21"/>
              </w:rPr>
              <w:t xml:space="preserve">Koszt łączny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System EEG 64ch + wzmacniacz + licencja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Laboratorium SWPS Warszawa — dostęp w ramach współpracy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0 zł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USB Trigger Box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Zasób laboratorium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0 zł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OpenSesame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Open 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0 zł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Żel przewodzący ECI Electro-Gel 473 ml (3 słoiki)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Zakup (e-majer.pl / elmiko.pl)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300 zł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NuPrep (preparat przygotowujący skórę)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Zakup (e-majer.pl / elmiko.pl)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100 zł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Wynagrodzenie uczestników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50 zł × 40 osób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2 000 zł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Sesje niewąły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50 zł × 5 sesji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250 zł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Rezerwa na nieprzewidziane koszty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500 zł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1"/>
                <w:szCs w:val="21"/>
              </w:rPr>
              <w:t xml:space="preserve">ŁĄCZNIE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1"/>
                <w:szCs w:val="21"/>
              </w:rPr>
              <w:t xml:space="preserve">3 150 zł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6e"/>
          <w:sz w:val="26"/>
          <w:szCs w:val="26"/>
        </w:rPr>
        <w:t xml:space="preserve">Wartość projektu — porównanie z rynkiem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Realizacja równoważnego badania EEG w komercyjnym laboratorium naukowym wiązałaby się z kosztami szacowanymi na 35 000–55 000 zł. Na tę kwotę składa się wynajem 64-kanałowego systemu Brain Products (ok. 800–1 200 zł za dobę, minimum 20–30 dni roboczych sesji), opłaty za obsługę techniczną i nadzor merytoryczny (stawki doktoranckie 80–120 zł/h), licencje oprogramowania analitycznego oraz koszty rekrutacji i obsługi administracyjnej uczestników.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Dzięki współpracy z Laboratorium SWPS Warszawa projekt realizowany jest za 3 150 zł — stanowi to około 6–9% kosztu rynkowego. Wkład laboratorium w postaci bezpłatnego dostępu do sprzętu i infrastruktury reprezentuje wartość ok. 30 000–45 000 zł, co czyni tę współpracę kluczowym czynnikiem wykonalności projektu.</w:t>
      </w:r>
    </w:p>
    <w:p>
      <w:pPr>
        <w:pBdr>
          <w:top w:val="single" w:color="2c2c6e" w:sz="8" w:space="4"/>
          <w:bottom w:val="single" w:color="2c2c6e" w:sz="8" w:space="4"/>
        </w:pBdr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2c2c6e"/>
          <w:sz w:val="24"/>
          <w:szCs w:val="24"/>
        </w:rPr>
        <w:t xml:space="preserve">Efektywność kosztowa: </w:t>
      </w:r>
      <w:r>
        <w:rPr>
          <w:rFonts w:ascii="Arial" w:cs="Arial" w:eastAsia="Arial" w:hAnsi="Arial"/>
          <w:color w:val="1a1a2e"/>
          <w:sz w:val="24"/>
          <w:szCs w:val="24"/>
        </w:rPr>
        <w:t xml:space="preserve">za 3 150 zł projekt uzyskuje dostęp do infrastruktury badawczej o wartości rynkowej przekraczającej 40 000 zł. Każda złotówka wydana na badanie generuje ponad 12 zł wartości naukowej.</w:t>
      </w:r>
    </w:p>
    <w:p>
      <w:pPr>
        <w:spacing w:after="160" w:before="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400"/>
      <w:outlineLvl w:val="1"/>
    </w:pPr>
    <w:rPr>
      <w:rFonts w:ascii="Arial" w:cs="Arial" w:eastAsia="Arial" w:hAnsi="Arial"/>
      <w:b/>
      <w:bCs/>
      <w:color w:val="2c2c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2026-06-09T14:34:18.468Z</dcterms:created>
  <dcterms:modified xsi:type="dcterms:W3CDTF">2026-06-09T14:34:18.468Z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