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color w:val="7a7a9d"/>
          <w:spacing w:val="40"/>
          <w:sz w:val="18"/>
          <w:szCs w:val="18"/>
        </w:rPr>
        <w:t xml:space="preserve">08  /  GLOSSARY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Słowniczek pojęć</w:t>
      </w:r>
    </w:p>
    <w:p>
      <w:pPr>
        <w:spacing w:after="240" w:before="0"/>
        <w:jc w:val="both"/>
      </w:pPr>
      <w:r>
        <w:rPr>
          <w:rFonts w:ascii="Arial" w:cs="Arial" w:eastAsia="Arial" w:hAnsi="Arial"/>
          <w:color w:val="1a1a2e"/>
          <w:sz w:val="23"/>
          <w:szCs w:val="23"/>
        </w:rPr>
        <w:t xml:space="preserve">Poniższy słowniczek objaśnia kluczowe pojęcia techniczne występujące w raporcie. Podzielony jest na dwie grupy: terminy z dziedziny EEG i neuronauki poznawczej oraz terminy związane ze zjawiskiem FOMO i metodologią badań. Każde hasło zawiera definicję dostosowana do czytelnika bez specjalistycznego przygotowania.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2c6e"/>
          <w:sz w:val="26"/>
          <w:szCs w:val="26"/>
        </w:rPr>
        <w:t xml:space="preserve">EEG i neuronauka poznawcza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900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6e"/>
                <w:sz w:val="22"/>
                <w:szCs w:val="22"/>
              </w:rPr>
              <w:t xml:space="preserve">Alfa (fale α)</w:t>
            </w:r>
          </w:p>
          <w:p>
            <w:r>
              <w:rPr>
                <w:rFonts w:ascii="Arial" w:cs="Arial" w:eastAsia="Arial" w:hAnsi="Arial"/>
                <w:i/>
                <w:iCs/>
                <w:color w:val="9999BB"/>
                <w:sz w:val="18"/>
                <w:szCs w:val="18"/>
              </w:rPr>
              <w:t xml:space="preserve">/ˈalfa/</w:t>
            </w:r>
          </w:p>
          <w:p>
            <w:r>
              <w:rPr>
                <w:rFonts w:ascii="Arial" w:cs="Arial" w:eastAsia="Arial" w:hAnsi="Arial"/>
                <w:color w:val="AAAACC"/>
                <w:sz w:val="18"/>
                <w:szCs w:val="18"/>
              </w:rPr>
              <w:t xml:space="preserve">Rytm EEG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Oscylacje elektryczne mózgu w zakresie 8–12 Hz. Występują głównie w stanie spoczynku i relaksu. Spadek mocy fal alfa (desynchronizacja) oznacza, że dany obszar mózgu się aktywuje i zaczyna przetwarzać informacje. W projekcie analizowane na elektrodach czołowych F3 i F4.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F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6e"/>
                <w:sz w:val="22"/>
                <w:szCs w:val="22"/>
              </w:rPr>
              <w:t xml:space="preserve">Artefakt</w:t>
            </w:r>
          </w:p>
          <w:p>
            <w:r>
              <w:t xml:space="preserve"/>
            </w:r>
          </w:p>
          <w:p>
            <w:r>
              <w:rPr>
                <w:rFonts w:ascii="Arial" w:cs="Arial" w:eastAsia="Arial" w:hAnsi="Arial"/>
                <w:color w:val="AAAACC"/>
                <w:sz w:val="18"/>
                <w:szCs w:val="18"/>
              </w:rPr>
              <w:t xml:space="preserve">Jakość sygnału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Składowa sygnału EEG nie pochodząca z aktywności mózgu, lecz z zewnętrznych źródeł: mrugnięcia oka, ruchy głowy, napięcie mięśniowe, zakłócenia elektryczne. Artefakty wykrywane są automatycznie i usuwane przed analizą.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6e"/>
                <w:sz w:val="22"/>
                <w:szCs w:val="22"/>
              </w:rPr>
              <w:t xml:space="preserve">CPT</w:t>
            </w:r>
          </w:p>
          <w:p>
            <w:r>
              <w:rPr>
                <w:rFonts w:ascii="Arial" w:cs="Arial" w:eastAsia="Arial" w:hAnsi="Arial"/>
                <w:i/>
                <w:iCs/>
                <w:color w:val="9999BB"/>
                <w:sz w:val="18"/>
                <w:szCs w:val="18"/>
              </w:rPr>
              <w:t xml:space="preserve">Continuous Performance Task</w:t>
            </w:r>
          </w:p>
          <w:p>
            <w:r>
              <w:rPr>
                <w:rFonts w:ascii="Arial" w:cs="Arial" w:eastAsia="Arial" w:hAnsi="Arial"/>
                <w:color w:val="AAAACC"/>
                <w:sz w:val="18"/>
                <w:szCs w:val="18"/>
              </w:rPr>
              <w:t xml:space="preserve">Paradygmat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Zadanie ciągłego wykonania — uczestnik reaguje na określony bodziec (np. literę X) pojawiający się na ekranie w strumieniu innych bodźców. Podtrzymuje uwagę i obciąża pamięć roboczą, tworząc naturalne warunki dla pomiaru reakcji na bodźce poboczne (tu: džwięki powiadomień).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F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6e"/>
                <w:sz w:val="22"/>
                <w:szCs w:val="22"/>
              </w:rPr>
              <w:t xml:space="preserve">EEG</w:t>
            </w:r>
          </w:p>
          <w:p>
            <w:r>
              <w:rPr>
                <w:rFonts w:ascii="Arial" w:cs="Arial" w:eastAsia="Arial" w:hAnsi="Arial"/>
                <w:i/>
                <w:iCs/>
                <w:color w:val="9999BB"/>
                <w:sz w:val="18"/>
                <w:szCs w:val="18"/>
              </w:rPr>
              <w:t xml:space="preserve">Elektroencefalografia</w:t>
            </w:r>
          </w:p>
          <w:p>
            <w:r>
              <w:rPr>
                <w:rFonts w:ascii="Arial" w:cs="Arial" w:eastAsia="Arial" w:hAnsi="Arial"/>
                <w:color w:val="AAAACC"/>
                <w:sz w:val="18"/>
                <w:szCs w:val="18"/>
              </w:rPr>
              <w:t xml:space="preserve">Metoda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Nieinwazyjna technika rejestracji aktywności bioelektrycznej mózgu za pomocą elektrod umieszczonych na skórze głowy. Mierzy różnice potencjałów elektrycznych wywołane synchroniczną aktywnością milionów neuronów. Rozdzielczość czasowa EEG wynosi milisekundy — co czyni ją idealną do badania szybkich reakcji na bodźce.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6e"/>
                <w:sz w:val="22"/>
                <w:szCs w:val="22"/>
              </w:rPr>
              <w:t xml:space="preserve">ERP</w:t>
            </w:r>
          </w:p>
          <w:p>
            <w:r>
              <w:rPr>
                <w:rFonts w:ascii="Arial" w:cs="Arial" w:eastAsia="Arial" w:hAnsi="Arial"/>
                <w:i/>
                <w:iCs/>
                <w:color w:val="9999BB"/>
                <w:sz w:val="18"/>
                <w:szCs w:val="18"/>
              </w:rPr>
              <w:t xml:space="preserve">Event-Related Potentials</w:t>
            </w:r>
          </w:p>
          <w:p>
            <w:r>
              <w:rPr>
                <w:rFonts w:ascii="Arial" w:cs="Arial" w:eastAsia="Arial" w:hAnsi="Arial"/>
                <w:color w:val="AAAACC"/>
                <w:sz w:val="18"/>
                <w:szCs w:val="18"/>
              </w:rPr>
              <w:t xml:space="preserve">Analiza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Potencjały wywołane związane ze zdarzeniem. Składowe sygnału EEG izolowane przez uśredniane setek epok (wycinków sygnału) zsynchronizowanych z momentem pojawienia się bodźca. Pozwalają zobaczyć jak mózg reaguje średnio na dany typ bodźca z dokładnością milisekundową. Przykład: komponent P300.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F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6e"/>
                <w:sz w:val="22"/>
                <w:szCs w:val="22"/>
              </w:rPr>
              <w:t xml:space="preserve">FAA</w:t>
            </w:r>
          </w:p>
          <w:p>
            <w:r>
              <w:rPr>
                <w:rFonts w:ascii="Arial" w:cs="Arial" w:eastAsia="Arial" w:hAnsi="Arial"/>
                <w:i/>
                <w:iCs/>
                <w:color w:val="9999BB"/>
                <w:sz w:val="18"/>
                <w:szCs w:val="18"/>
              </w:rPr>
              <w:t xml:space="preserve">Frontal Alpha Asymmetry</w:t>
            </w:r>
          </w:p>
          <w:p>
            <w:r>
              <w:rPr>
                <w:rFonts w:ascii="Arial" w:cs="Arial" w:eastAsia="Arial" w:hAnsi="Arial"/>
                <w:color w:val="AAAACC"/>
                <w:sz w:val="18"/>
                <w:szCs w:val="18"/>
              </w:rPr>
              <w:t xml:space="preserve">Wskaźnik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Wskaźnik asymetrii czołowej fal alfa, obliczany jako: FAA = ln(Moc F4) − ln(Moc F3). Wartość ujemna oznacza wyższą aktywację lewej półkuli czołowej — stan wiązany z motywacją do działania i emocjami dążenia. Wartość dodatnia: dominacja prawej półkuli — stan wycofania i unikania.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6e"/>
                <w:sz w:val="22"/>
                <w:szCs w:val="22"/>
              </w:rPr>
              <w:t xml:space="preserve">Habituacja</w:t>
            </w:r>
          </w:p>
          <w:p>
            <w:r>
              <w:t xml:space="preserve"/>
            </w:r>
          </w:p>
          <w:p>
            <w:r>
              <w:rPr>
                <w:rFonts w:ascii="Arial" w:cs="Arial" w:eastAsia="Arial" w:hAnsi="Arial"/>
                <w:color w:val="AAAACC"/>
                <w:sz w:val="18"/>
                <w:szCs w:val="18"/>
              </w:rPr>
              <w:t xml:space="preserve">Mechanizm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Stopniowe wygasanie reakcji neuronalnej na powtarzający się bodziec, który przestał być nowy lub ważny. Przejaw uczenia się przez mózg, że dany sygnał nie wymaga reakcji. W projekcie: oczekuje się, że u osób z niskim FOMO amplituda P300 będzie maleć z każdym kolejnym powiadomieniem.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F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6e"/>
                <w:sz w:val="22"/>
                <w:szCs w:val="22"/>
              </w:rPr>
              <w:t xml:space="preserve">ICA</w:t>
            </w:r>
          </w:p>
          <w:p>
            <w:r>
              <w:rPr>
                <w:rFonts w:ascii="Arial" w:cs="Arial" w:eastAsia="Arial" w:hAnsi="Arial"/>
                <w:i/>
                <w:iCs/>
                <w:color w:val="9999BB"/>
                <w:sz w:val="18"/>
                <w:szCs w:val="18"/>
              </w:rPr>
              <w:t xml:space="preserve">Independent Component Analysis</w:t>
            </w:r>
          </w:p>
          <w:p>
            <w:r>
              <w:rPr>
                <w:rFonts w:ascii="Arial" w:cs="Arial" w:eastAsia="Arial" w:hAnsi="Arial"/>
                <w:color w:val="AAAACC"/>
                <w:sz w:val="18"/>
                <w:szCs w:val="18"/>
              </w:rPr>
              <w:t xml:space="preserve">Metoda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Analiza składowych niezależnych — algorytm matematyczny rozkładający sygnał EEG na niezależne źródła. Umożliwia identyfikację i usunięcie składowych artefaktycznych (mrugnięcia, ruchy oczu, tętno) przy zachowaniu składowych mózgowych. Kluczowy krok kontroli jakości w pipeline EEG.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6e"/>
                <w:sz w:val="22"/>
                <w:szCs w:val="22"/>
              </w:rPr>
              <w:t xml:space="preserve">Impedancja</w:t>
            </w:r>
          </w:p>
          <w:p>
            <w:r>
              <w:t xml:space="preserve"/>
            </w:r>
          </w:p>
          <w:p>
            <w:r>
              <w:rPr>
                <w:rFonts w:ascii="Arial" w:cs="Arial" w:eastAsia="Arial" w:hAnsi="Arial"/>
                <w:color w:val="AAAACC"/>
                <w:sz w:val="18"/>
                <w:szCs w:val="18"/>
              </w:rPr>
              <w:t xml:space="preserve">Technika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Opór elektryczny na styku elektrody i skóry głowy, mierzony w kiloomach (kΩ). Im niższa impedancja, tym lepszy kontakt elektrody ze skórą i czystszy sygnał. W projekcie wymaga się impedancji &lt; 5 kΩ przed każdą sesją.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F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6e"/>
                <w:sz w:val="22"/>
                <w:szCs w:val="22"/>
              </w:rPr>
              <w:t xml:space="preserve">Moc PSD</w:t>
            </w:r>
          </w:p>
          <w:p>
            <w:r>
              <w:rPr>
                <w:rFonts w:ascii="Arial" w:cs="Arial" w:eastAsia="Arial" w:hAnsi="Arial"/>
                <w:i/>
                <w:iCs/>
                <w:color w:val="9999BB"/>
                <w:sz w:val="18"/>
                <w:szCs w:val="18"/>
              </w:rPr>
              <w:t xml:space="preserve">Power Spectral Density</w:t>
            </w:r>
          </w:p>
          <w:p>
            <w:r>
              <w:rPr>
                <w:rFonts w:ascii="Arial" w:cs="Arial" w:eastAsia="Arial" w:hAnsi="Arial"/>
                <w:color w:val="AAAACC"/>
                <w:sz w:val="18"/>
                <w:szCs w:val="18"/>
              </w:rPr>
              <w:t xml:space="preserve">Analiza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Gęstość widmowa mocy — miara ilości energii sygnału elektrycznego przypadającej na daną częstotliwość. Pozwala określić jak silne są oscylacje alfa (8–12 Hz) w danym obszarze mózgu. Obliczana metodą Welcha z oknem Hanninga.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6e"/>
                <w:sz w:val="22"/>
                <w:szCs w:val="22"/>
              </w:rPr>
              <w:t xml:space="preserve">P300</w:t>
            </w:r>
          </w:p>
          <w:p>
            <w:r>
              <w:t xml:space="preserve"/>
            </w:r>
          </w:p>
          <w:p>
            <w:r>
              <w:rPr>
                <w:rFonts w:ascii="Arial" w:cs="Arial" w:eastAsia="Arial" w:hAnsi="Arial"/>
                <w:color w:val="AAAACC"/>
                <w:sz w:val="18"/>
                <w:szCs w:val="18"/>
              </w:rPr>
              <w:t xml:space="preserve">Komponent ERP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Fala elektryczna pojawiająca się w zapisie EEG około 300–500 milisekund po ekspozycji na bodziec rzadki lub ważny. Rejestrowana głównie na elektrodach ciemieniowych (Pz, Cz). Jej amplituda odzwierciedla to, jak duże znaczenie mózg przypisuje danemu bodźcowi — im wyższa, tym wyższy priorytet uwagowy.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F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6e"/>
                <w:sz w:val="22"/>
                <w:szCs w:val="22"/>
              </w:rPr>
              <w:t xml:space="preserve">Rereferencing</w:t>
            </w:r>
          </w:p>
          <w:p>
            <w:r>
              <w:t xml:space="preserve"/>
            </w:r>
          </w:p>
          <w:p>
            <w:r>
              <w:rPr>
                <w:rFonts w:ascii="Arial" w:cs="Arial" w:eastAsia="Arial" w:hAnsi="Arial"/>
                <w:color w:val="AAAACC"/>
                <w:sz w:val="18"/>
                <w:szCs w:val="18"/>
              </w:rPr>
              <w:t xml:space="preserve">Przetwarzanie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Przeliczenie sygnału EEG względem nowej referencji elektrycznej. W projekcie stosowana jest średnia referecnja (average reference) — sygnał każdej elektrody przeliczany jest względem średniej wszystkich pozostałych. Eliminuje wpływ wybranej elektrody referencyjnej na wynik analizy.</w:t>
            </w:r>
          </w:p>
        </w:tc>
      </w:tr>
    </w:tbl>
    <w:p>
      <w:pPr>
        <w:spacing w:after="36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2c6e"/>
          <w:sz w:val="26"/>
          <w:szCs w:val="26"/>
        </w:rPr>
        <w:t xml:space="preserve">FOMO i metodologia badań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900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6e"/>
                <w:sz w:val="22"/>
                <w:szCs w:val="22"/>
              </w:rPr>
              <w:t xml:space="preserve">Asymetria czołowa</w:t>
            </w:r>
          </w:p>
          <w:p>
            <w:r>
              <w:t xml:space="preserve"/>
            </w:r>
          </w:p>
          <w:p>
            <w:r>
              <w:rPr>
                <w:rFonts w:ascii="Arial" w:cs="Arial" w:eastAsia="Arial" w:hAnsi="Arial"/>
                <w:color w:val="AAAACC"/>
                <w:sz w:val="18"/>
                <w:szCs w:val="18"/>
              </w:rPr>
              <w:t xml:space="preserve">Neuronauka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Zjawisko różnej aktywności lewej i prawej półkuli czołowej. Lewa półkula wiązana jest z motywacją do zbliżenia i działania, prawa — z wycofaniem i unikaniem. Asymetria mierzona wskaźnikiem FAA jest biomarkerem reaktywności emocjonalnej.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F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6e"/>
                <w:sz w:val="22"/>
                <w:szCs w:val="22"/>
              </w:rPr>
              <w:t xml:space="preserve">Dobór skrajny</w:t>
            </w:r>
          </w:p>
          <w:p>
            <w:r>
              <w:t xml:space="preserve"/>
            </w:r>
          </w:p>
          <w:p>
            <w:r>
              <w:rPr>
                <w:rFonts w:ascii="Arial" w:cs="Arial" w:eastAsia="Arial" w:hAnsi="Arial"/>
                <w:color w:val="AAAACC"/>
                <w:sz w:val="18"/>
                <w:szCs w:val="18"/>
              </w:rPr>
              <w:t xml:space="preserve">Metodologia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Strategia doboru próby polegająca na wyborze osób z krańców rozkładu wyników (najwyższe i najniższe). Maksymalizuje wykrywalną różnicę między grupami, zwiększając moc statystyczną badania bez konieczności zwiększania liczebności próby.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6e"/>
                <w:sz w:val="22"/>
                <w:szCs w:val="22"/>
              </w:rPr>
              <w:t xml:space="preserve">Effect size (d Cohena)</w:t>
            </w:r>
          </w:p>
          <w:p>
            <w:r>
              <w:t xml:space="preserve"/>
            </w:r>
          </w:p>
          <w:p>
            <w:r>
              <w:rPr>
                <w:rFonts w:ascii="Arial" w:cs="Arial" w:eastAsia="Arial" w:hAnsi="Arial"/>
                <w:color w:val="AAAACC"/>
                <w:sz w:val="18"/>
                <w:szCs w:val="18"/>
              </w:rPr>
              <w:t xml:space="preserve">Statystyka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Standaryzowana miara wielkości efektu — mówi jak duża jest różnica między grupami w jednostkach odchylenia standardowego. d = 0,2: efekt mały; d = 0,5: średni; d = 0,8: duży. W projekcie przyjmuje się d = 0,8 jako podstawę analizy mocy.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F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6e"/>
                <w:sz w:val="22"/>
                <w:szCs w:val="22"/>
              </w:rPr>
              <w:t xml:space="preserve">FOMO</w:t>
            </w:r>
          </w:p>
          <w:p>
            <w:r>
              <w:rPr>
                <w:rFonts w:ascii="Arial" w:cs="Arial" w:eastAsia="Arial" w:hAnsi="Arial"/>
                <w:i/>
                <w:iCs/>
                <w:color w:val="9999BB"/>
                <w:sz w:val="18"/>
                <w:szCs w:val="18"/>
              </w:rPr>
              <w:t xml:space="preserve">Fear of Missing Out</w:t>
            </w:r>
          </w:p>
          <w:p>
            <w:r>
              <w:rPr>
                <w:rFonts w:ascii="Arial" w:cs="Arial" w:eastAsia="Arial" w:hAnsi="Arial"/>
                <w:color w:val="AAAACC"/>
                <w:sz w:val="18"/>
                <w:szCs w:val="18"/>
              </w:rPr>
              <w:t xml:space="preserve">Zjawisko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Lęk przed pominięciem istotnych doświadczeń społecznych. Stan emocjonalny wyzwalany przez świadomość, że inni mogą przeżywać coś wartościowego bez naszego udziału. Operacjonalizowany w badaniach za pomocą skali FoMOs (Przybylski i in., 2013).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6e"/>
                <w:sz w:val="22"/>
                <w:szCs w:val="22"/>
              </w:rPr>
              <w:t xml:space="preserve">FoMOs</w:t>
            </w:r>
          </w:p>
          <w:p>
            <w:r>
              <w:rPr>
                <w:rFonts w:ascii="Arial" w:cs="Arial" w:eastAsia="Arial" w:hAnsi="Arial"/>
                <w:i/>
                <w:iCs/>
                <w:color w:val="9999BB"/>
                <w:sz w:val="18"/>
                <w:szCs w:val="18"/>
              </w:rPr>
              <w:t xml:space="preserve">Fear of Missing Out Scale</w:t>
            </w:r>
          </w:p>
          <w:p>
            <w:r>
              <w:rPr>
                <w:rFonts w:ascii="Arial" w:cs="Arial" w:eastAsia="Arial" w:hAnsi="Arial"/>
                <w:color w:val="AAAACC"/>
                <w:sz w:val="18"/>
                <w:szCs w:val="18"/>
              </w:rPr>
              <w:t xml:space="preserve">Narzędzie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Kwestionariusz składający się z 10 twierdzeń ocenianych na skali Likerta (1–5). Przykładowe twierdzenie: „Czuję niepokój, gdy nie wiem, co robią moi znajomi”. Wynik ogólny (10–50 pkt.) informuje o nasileniu FOMO. Skala opracowana przez Przybylskiego i wsp. (2013), powszechnie stosowana w badaniach nad mediami cyfrowymi.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F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6e"/>
                <w:sz w:val="22"/>
                <w:szCs w:val="22"/>
              </w:rPr>
              <w:t xml:space="preserve">Habituacja</w:t>
            </w:r>
          </w:p>
          <w:p>
            <w:r>
              <w:t xml:space="preserve"/>
            </w:r>
          </w:p>
          <w:p>
            <w:r>
              <w:rPr>
                <w:rFonts w:ascii="Arial" w:cs="Arial" w:eastAsia="Arial" w:hAnsi="Arial"/>
                <w:color w:val="AAAACC"/>
                <w:sz w:val="18"/>
                <w:szCs w:val="18"/>
              </w:rPr>
              <w:t xml:space="preserve">Mechanizm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Stopniowe wygasanie reakcji na powtarzający się bodziec — patrz sekcja A.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6e"/>
                <w:sz w:val="22"/>
                <w:szCs w:val="22"/>
              </w:rPr>
              <w:t xml:space="preserve">ISI (jittered)</w:t>
            </w:r>
          </w:p>
          <w:p>
            <w:r>
              <w:rPr>
                <w:rFonts w:ascii="Arial" w:cs="Arial" w:eastAsia="Arial" w:hAnsi="Arial"/>
                <w:i/>
                <w:iCs/>
                <w:color w:val="9999BB"/>
                <w:sz w:val="18"/>
                <w:szCs w:val="18"/>
              </w:rPr>
              <w:t xml:space="preserve">Inter-Stimulus Interval</w:t>
            </w:r>
          </w:p>
          <w:p>
            <w:r>
              <w:rPr>
                <w:rFonts w:ascii="Arial" w:cs="Arial" w:eastAsia="Arial" w:hAnsi="Arial"/>
                <w:color w:val="AAAACC"/>
                <w:sz w:val="18"/>
                <w:szCs w:val="18"/>
              </w:rPr>
              <w:t xml:space="preserve">Procedura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Czas między kolejnymi bodźcami. W projekcie losowy w zakresie 8–12 sekund. Losowość eliminuje możliwość antycypowania bodźca przez uczestnika, co zapobiega świadomej gotowości uwagowej zamiast spontanicznej reakcji orientacyjnej.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F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6e"/>
                <w:sz w:val="22"/>
                <w:szCs w:val="22"/>
              </w:rPr>
              <w:t xml:space="preserve">Moc statystyczna</w:t>
            </w:r>
          </w:p>
          <w:p>
            <w:r>
              <w:rPr>
                <w:rFonts w:ascii="Arial" w:cs="Arial" w:eastAsia="Arial" w:hAnsi="Arial"/>
                <w:i/>
                <w:iCs/>
                <w:color w:val="9999BB"/>
                <w:sz w:val="18"/>
                <w:szCs w:val="18"/>
              </w:rPr>
              <w:t xml:space="preserve">1−β</w:t>
            </w:r>
          </w:p>
          <w:p>
            <w:r>
              <w:rPr>
                <w:rFonts w:ascii="Arial" w:cs="Arial" w:eastAsia="Arial" w:hAnsi="Arial"/>
                <w:color w:val="AAAACC"/>
                <w:sz w:val="18"/>
                <w:szCs w:val="18"/>
              </w:rPr>
              <w:t xml:space="preserve">Statystyka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Prawdopodobieństwo wykrycia efektu, jeśli efekt rzeczywiście istnieje. Wartość 0,80 (80%) to minimalny akceptowany próg w naukach behawioralnych. W projekcie moc wynosi ok. 0,90 przy N=40 i d=0,80.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6e"/>
                <w:sz w:val="22"/>
                <w:szCs w:val="22"/>
              </w:rPr>
              <w:t xml:space="preserve">Reakcja orientacyjna</w:t>
            </w:r>
          </w:p>
          <w:p>
            <w:r>
              <w:t xml:space="preserve"/>
            </w:r>
          </w:p>
          <w:p>
            <w:r>
              <w:rPr>
                <w:rFonts w:ascii="Arial" w:cs="Arial" w:eastAsia="Arial" w:hAnsi="Arial"/>
                <w:color w:val="AAAACC"/>
                <w:sz w:val="18"/>
                <w:szCs w:val="18"/>
              </w:rPr>
              <w:t xml:space="preserve">Neuronauka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Odruchowa odpowiedź mózgu na nowy lub nieoczekiwany bodziec: chwilowe skierowanie uwagi, zahamowanie aktywności bieżącej i zwiększone przetwarzanie. Odzwierciedlana amplitudą P300. Przy habituacji zanika; przy FOMO może utrzymywać się ponadprzeciętnie długo.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F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6e"/>
                <w:sz w:val="22"/>
                <w:szCs w:val="22"/>
              </w:rPr>
              <w:t xml:space="preserve">Tryb samolotowy</w:t>
            </w:r>
          </w:p>
          <w:p>
            <w:r>
              <w:t xml:space="preserve"/>
            </w:r>
          </w:p>
          <w:p>
            <w:r>
              <w:rPr>
                <w:rFonts w:ascii="Arial" w:cs="Arial" w:eastAsia="Arial" w:hAnsi="Arial"/>
                <w:color w:val="AAAACC"/>
                <w:sz w:val="18"/>
                <w:szCs w:val="18"/>
              </w:rPr>
              <w:t xml:space="preserve">Procedura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Tryb działania telefonu wyłączający połączenie z siecią komórkową i internetem. W projekcie zapewnia, że uczestnicy słyszą nagrane džwięki powiadomień, ale nie mogą sprawdzić rzeczywistych wiadomości — tworząc kontrowersyjny stan frustracji kluczowy dla paradygmatu.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spacing w:after="0" w:before="0"/>
        <w:jc w:val="both"/>
      </w:pPr>
      <w:r>
        <w:rPr>
          <w:rFonts w:ascii="Arial" w:cs="Arial" w:eastAsia="Arial" w:hAnsi="Arial"/>
          <w:i/>
          <w:iCs/>
          <w:color w:val="9999BB"/>
          <w:sz w:val="20"/>
          <w:szCs w:val="20"/>
        </w:rPr>
        <w:t xml:space="preserve">Hasła oznaczone kursywą w tekście raportu są klikalne na stronie webowej i otwierają kartę z definicją z niniejszego słowniczka.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400"/>
      <w:outlineLvl w:val="1"/>
    </w:pPr>
    <w:rPr>
      <w:rFonts w:ascii="Arial" w:cs="Arial" w:eastAsia="Arial" w:hAnsi="Arial"/>
      <w:b/>
      <w:bCs/>
      <w:color w:val="2c2c6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2026-06-09T16:11:51.562Z</dcterms:created>
  <dcterms:modified xsi:type="dcterms:W3CDTF">2026-06-09T16:11:51.563Z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