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652F" w14:textId="7FD4872F" w:rsidR="00E96025" w:rsidRPr="0084647A" w:rsidRDefault="0084647A" w:rsidP="00B072A7">
      <w:pPr>
        <w:spacing w:line="360" w:lineRule="auto"/>
        <w:contextualSpacing/>
        <w:rPr>
          <w:rFonts w:ascii="Times New Roman" w:hAnsi="Times New Roman" w:cs="Times New Roman"/>
        </w:rPr>
      </w:pPr>
      <w:r>
        <w:rPr>
          <w:rFonts w:ascii="Times New Roman" w:hAnsi="Times New Roman" w:cs="Times New Roman"/>
        </w:rPr>
        <w:t xml:space="preserve">Projekt badawczy </w:t>
      </w:r>
      <w:commentRangeStart w:id="0"/>
      <w:r>
        <w:rPr>
          <w:rFonts w:ascii="Times New Roman" w:hAnsi="Times New Roman" w:cs="Times New Roman"/>
        </w:rPr>
        <w:t>– D. Sa</w:t>
      </w:r>
      <w:commentRangeEnd w:id="0"/>
      <w:r>
        <w:rPr>
          <w:rStyle w:val="Odwoaniedokomentarza"/>
          <w:rFonts w:ascii="Times New Roman" w:hAnsi="Times New Roman" w:cs="Times New Roman"/>
          <w:sz w:val="24"/>
          <w:szCs w:val="24"/>
        </w:rPr>
        <w:commentReference w:id="0"/>
      </w:r>
      <w:r>
        <w:rPr>
          <w:rFonts w:ascii="Times New Roman" w:hAnsi="Times New Roman" w:cs="Times New Roman"/>
        </w:rPr>
        <w:t>tora-Izquierdo, kognitywistyka rok 3.</w:t>
      </w:r>
    </w:p>
    <w:p w14:paraId="762D0C03" w14:textId="4C09CD13" w:rsidR="00E96025" w:rsidRPr="00AC28B6" w:rsidRDefault="00AC28B6" w:rsidP="00B072A7">
      <w:pPr>
        <w:pStyle w:val="Nagwek1"/>
        <w:spacing w:before="0" w:after="0" w:line="360" w:lineRule="auto"/>
        <w:contextualSpacing/>
        <w:rPr>
          <w:rFonts w:ascii="Times New Roman" w:hAnsi="Times New Roman" w:cs="Times New Roman"/>
          <w:b/>
          <w:bCs/>
          <w:color w:val="000000" w:themeColor="text1"/>
          <w:sz w:val="24"/>
          <w:szCs w:val="24"/>
        </w:rPr>
      </w:pPr>
      <w:r w:rsidRPr="00AC28B6">
        <w:rPr>
          <w:rFonts w:ascii="Times New Roman" w:hAnsi="Times New Roman" w:cs="Times New Roman"/>
          <w:b/>
          <w:bCs/>
          <w:color w:val="000000" w:themeColor="text1"/>
          <w:sz w:val="24"/>
          <w:szCs w:val="24"/>
        </w:rPr>
        <w:t>NEURONALNE I BEHAWIORALNE KORELATY ZJAWISKA FOMO (FEAR OF MISSING OUT)</w:t>
      </w:r>
      <w:r>
        <w:rPr>
          <w:rFonts w:ascii="Times New Roman" w:hAnsi="Times New Roman" w:cs="Times New Roman"/>
          <w:b/>
          <w:bCs/>
          <w:color w:val="000000" w:themeColor="text1"/>
          <w:sz w:val="24"/>
          <w:szCs w:val="24"/>
        </w:rPr>
        <w:t xml:space="preserve"> –</w:t>
      </w:r>
      <w:r w:rsidRPr="00AC28B6">
        <w:rPr>
          <w:rFonts w:ascii="Times New Roman" w:hAnsi="Times New Roman" w:cs="Times New Roman"/>
          <w:b/>
          <w:bCs/>
          <w:color w:val="000000" w:themeColor="text1"/>
          <w:sz w:val="24"/>
          <w:szCs w:val="24"/>
        </w:rPr>
        <w:t xml:space="preserve"> BADANIE PRZY UŻYCIU EEG.</w:t>
      </w:r>
    </w:p>
    <w:p w14:paraId="1D5A4103" w14:textId="77777777" w:rsidR="00E96025" w:rsidRPr="00D54759" w:rsidRDefault="00E96025" w:rsidP="00B072A7">
      <w:pPr>
        <w:spacing w:line="360" w:lineRule="auto"/>
        <w:ind w:firstLine="709"/>
        <w:contextualSpacing/>
        <w:rPr>
          <w:rFonts w:ascii="Times New Roman" w:hAnsi="Times New Roman" w:cs="Times New Roman"/>
          <w:b/>
          <w:bCs/>
        </w:rPr>
      </w:pPr>
    </w:p>
    <w:p w14:paraId="3932B598" w14:textId="0B6CCD67" w:rsidR="00E96025" w:rsidRPr="00D54759" w:rsidRDefault="00AC28B6" w:rsidP="00B072A7">
      <w:pPr>
        <w:spacing w:line="360" w:lineRule="auto"/>
        <w:ind w:firstLine="709"/>
        <w:contextualSpacing/>
        <w:rPr>
          <w:rFonts w:ascii="Times New Roman" w:hAnsi="Times New Roman" w:cs="Times New Roman"/>
          <w:b/>
          <w:bCs/>
        </w:rPr>
      </w:pPr>
      <w:r>
        <w:rPr>
          <w:rFonts w:ascii="Times New Roman" w:hAnsi="Times New Roman" w:cs="Times New Roman"/>
          <w:b/>
          <w:bCs/>
        </w:rPr>
        <w:t>Wprowadzenie i znaczenie badania</w:t>
      </w:r>
    </w:p>
    <w:p w14:paraId="20CFF9D8" w14:textId="77777777" w:rsidR="00B072A7" w:rsidRDefault="00B072A7" w:rsidP="00B072A7">
      <w:pPr>
        <w:spacing w:line="360" w:lineRule="auto"/>
        <w:ind w:firstLine="709"/>
        <w:contextualSpacing/>
        <w:rPr>
          <w:rFonts w:ascii="Times New Roman" w:hAnsi="Times New Roman" w:cs="Times New Roman"/>
        </w:rPr>
      </w:pPr>
    </w:p>
    <w:p w14:paraId="22B89CAF" w14:textId="1414DB20" w:rsidR="00B072A7" w:rsidRDefault="00E96025" w:rsidP="00B072A7">
      <w:pPr>
        <w:spacing w:line="360" w:lineRule="auto"/>
        <w:ind w:firstLine="709"/>
        <w:contextualSpacing/>
        <w:rPr>
          <w:rFonts w:ascii="Times New Roman" w:hAnsi="Times New Roman" w:cs="Times New Roman"/>
        </w:rPr>
      </w:pPr>
      <w:r>
        <w:rPr>
          <w:rFonts w:ascii="Times New Roman" w:hAnsi="Times New Roman" w:cs="Times New Roman"/>
        </w:rPr>
        <w:t xml:space="preserve">Zjawisko FOMO to reakcja emocjonalna - lęk przed pominięciem osobistego lub publicznego doświadczenia, które mogłoby pomóc jednostce utrzymać lub poprawić jej życie osobiste i społeczne </w:t>
      </w:r>
      <w:r>
        <w:rPr>
          <w:rFonts w:ascii="Times New Roman" w:hAnsi="Times New Roman" w:cs="Times New Roman"/>
        </w:rPr>
        <w:fldChar w:fldCharType="begin"/>
      </w:r>
      <w:r>
        <w:rPr>
          <w:rFonts w:ascii="Times New Roman" w:hAnsi="Times New Roman" w:cs="Times New Roman"/>
        </w:rPr>
        <w:instrText xml:space="preserve"> ADDIN ZOTERO_ITEM CSL_CITATION {"citationID":"J7vHuKpO","properties":{"unsorted":false,"formattedCitation":"(Sayg\\uc0\\u305{}n &amp; Karadal, 2022)","plainCitation":"(Saygın &amp; Karadal, 2022)","noteIndex":0},"citationItems":[{"id":494,"uris":["http://zotero.org/users/local/I21UNnIs/items/794H92TC"],"itemData":{"id":494,"type":"chapter","abstract":"Competitiveness, innovation, and constant change have become indispensable elements in today's transition from an industrial society to information society. Internet technologies, which are constantly renewing themselves depending on globalization, have increased the tendency of promotion, sharing, and following. Social networks have become an important part of our lives as a result of the continuous developments in internet-based applications and mobile devices in the world of fiber networks. FoMO emerges as an interdisciplinary phenomenon expressing individuals' awareness of virtual environment. Accordingly, individuals tend to be constantly aware of the changes around them through social media. Individuals, who constantly update and monitor with their mobile devices, spend a long time on social networks and create their own virtual worlds. The FoMO is closely related with psychological, behavioral, and social issues. In the research, in addition to the theoretical background of FoMO, measurement scales and managerial inferences for the organizations have been discussed.","container-title":"Advances in Human and Social Aspects of Technology","DOI":"10.4018/978-1-7998-9187-1.ch028","ISBN":"978-1-7998-9187-1","page":"631-651","publisher":"IGI Global","source":"DOI.org (Crossref)","title":"The Fear of Missing Out (FoMO): Theoretical Approach and Measurement in Organizations","title-short":"The Fear of Missing Out (FoMO)","URL":"http://services.igi-global.com/resolvedoi/resolve.aspx?doi=10.4018/978-1-7998-9187-1.ch028","editor":[{"family":"Özsungur","given":"Fahri"}],"author":[{"family":"Saygın","given":"Muhammet"},{"family":"Karadal","given":"Himmet"}],"accessed":{"date-parts":[["2026",5,28]]},"issued":{"date-parts":[["2022"]]}}}],"schema":"https://github.com/citation-style-language/schema/raw/master/csl-citation.json"} </w:instrText>
      </w:r>
      <w:r>
        <w:rPr>
          <w:rFonts w:ascii="Times New Roman" w:hAnsi="Times New Roman" w:cs="Times New Roman"/>
        </w:rPr>
        <w:fldChar w:fldCharType="separate"/>
      </w:r>
      <w:r>
        <w:rPr>
          <w:rFonts w:ascii="Aptos" w:hAnsi="Aptos" w:cs="Times New Roman"/>
          <w:kern w:val="0"/>
        </w:rPr>
        <w:t>(Saygın &amp; Karadal, 2022)</w:t>
      </w:r>
      <w:r>
        <w:rPr>
          <w:rFonts w:ascii="Times New Roman" w:hAnsi="Times New Roman" w:cs="Times New Roman"/>
        </w:rPr>
        <w:fldChar w:fldCharType="end"/>
      </w:r>
      <w:r>
        <w:rPr>
          <w:rFonts w:ascii="Times New Roman" w:hAnsi="Times New Roman" w:cs="Times New Roman"/>
        </w:rPr>
        <w:t>. Zjawisko to nabiera coraz większej skali</w:t>
      </w:r>
      <w:r w:rsidR="00AC28B6">
        <w:rPr>
          <w:rFonts w:ascii="Times New Roman" w:hAnsi="Times New Roman" w:cs="Times New Roman"/>
        </w:rPr>
        <w:t>, np.</w:t>
      </w:r>
      <w:r>
        <w:rPr>
          <w:rFonts w:ascii="Times New Roman" w:hAnsi="Times New Roman" w:cs="Times New Roman"/>
        </w:rPr>
        <w:t xml:space="preserve"> USA dotyczy aż 69% młodych użytkowników mediów społecznościowych </w:t>
      </w:r>
      <w:r>
        <w:rPr>
          <w:rFonts w:ascii="Times New Roman" w:hAnsi="Times New Roman" w:cs="Times New Roman"/>
        </w:rPr>
        <w:fldChar w:fldCharType="begin"/>
      </w:r>
      <w:r>
        <w:rPr>
          <w:rFonts w:ascii="Times New Roman" w:hAnsi="Times New Roman" w:cs="Times New Roman"/>
        </w:rPr>
        <w:instrText xml:space="preserve"> ADDIN ZOTERO_ITEM CSL_CITATION {"citationID":"pRIaMPJo","properties":{"unsorted":false,"formattedCitation":"(Bartosiak i in., 2025)","plainCitation":"(Bartosiak i in., 2025)","noteIndex":0},"citationItems":[{"id":495,"uris":["http://zotero.org/users/local/I21UNnIs/items/KJDST3X9"],"itemData":{"id":495,"type":"article-journal","abstract":"This study examines the social, psychological, and financial wellbeing of younger consumers who follow social media influencers. The consumer panel MTurk was used to collect a U.S. sample of 863 adults aged between 18 and 40 who follow social media influencers. Structural equation modeling is used for data analysis. Greater fear of missing out is directly linked to lower levels of social, psychological, and financial wellbeing, however it is associated with stronger parasocial interactions with social media influencers. Parasocial interactions are, in turn, associated with higher levels of social, psychological, and financial wellbeing. This study is among the first to document the direct association of fear of missing out with lower social, psychological, and financial wellbeing and shows that parasocial interactions with social media influencers are a key pathway through which social media use can benefit the wellbeing of younger consumers.","container-title":"PLOS ONE","DOI":"10.1371/journal.pone.0319034","ISSN":"1932-6203","issue":"4","journalAbbreviation":"PLoS ONE","language":"en","page":"e0319034","source":"DOI.org (Crossref)","title":"Fear of missing out, social media influencers, and the social, psychological and financial wellbeing of young consumers","volume":"20","author":[{"family":"Bartosiak","given":"Abbey"},{"family":"Lee","given":"Jung Eun"},{"family":"Loibl","given":"Cäzilia"}],"editor":[{"family":"Sudzina","given":"Frantisek"}],"issued":{"date-parts":[["2025",4,15]]}}}],"schema":"https://github.com/citation-style-language/schema/raw/master/csl-citation.json"} </w:instrText>
      </w:r>
      <w:r>
        <w:rPr>
          <w:rFonts w:ascii="Times New Roman" w:hAnsi="Times New Roman" w:cs="Times New Roman"/>
        </w:rPr>
        <w:fldChar w:fldCharType="separate"/>
      </w:r>
      <w:r>
        <w:rPr>
          <w:rFonts w:ascii="Aptos" w:hAnsi="Aptos"/>
        </w:rPr>
        <w:t>(Bartosiak i in., 2025)</w:t>
      </w:r>
      <w:r>
        <w:rPr>
          <w:rFonts w:ascii="Times New Roman" w:hAnsi="Times New Roman" w:cs="Times New Roman"/>
        </w:rPr>
        <w:fldChar w:fldCharType="end"/>
      </w:r>
      <w:r>
        <w:rPr>
          <w:rFonts w:ascii="Times New Roman" w:hAnsi="Times New Roman" w:cs="Times New Roman"/>
        </w:rPr>
        <w:t>. Stało się to powszechnym problemem kognitywnym i społecznym</w:t>
      </w:r>
      <w:r w:rsidR="00AC28B6">
        <w:rPr>
          <w:rFonts w:ascii="Times New Roman" w:hAnsi="Times New Roman" w:cs="Times New Roman"/>
        </w:rPr>
        <w:t>.</w:t>
      </w:r>
    </w:p>
    <w:p w14:paraId="381C8ADD" w14:textId="56C7A97A" w:rsidR="00CD0A9D" w:rsidRDefault="00CD0A9D" w:rsidP="00B072A7">
      <w:pPr>
        <w:spacing w:line="360" w:lineRule="auto"/>
        <w:ind w:firstLine="709"/>
        <w:contextualSpacing/>
        <w:rPr>
          <w:rFonts w:ascii="Times New Roman" w:hAnsi="Times New Roman" w:cs="Times New Roman"/>
        </w:rPr>
      </w:pPr>
      <w:r>
        <w:rPr>
          <w:rFonts w:ascii="Times New Roman" w:hAnsi="Times New Roman" w:cs="Times New Roman"/>
        </w:rPr>
        <w:t>FOMO wpływa również na zachowania konsumenckie</w:t>
      </w:r>
      <w:r w:rsidR="00AC28B6">
        <w:rPr>
          <w:rFonts w:ascii="Times New Roman" w:hAnsi="Times New Roman" w:cs="Times New Roman"/>
        </w:rPr>
        <w:t xml:space="preserve">, ponieważ </w:t>
      </w:r>
      <w:r>
        <w:rPr>
          <w:rFonts w:ascii="Times New Roman" w:hAnsi="Times New Roman" w:cs="Times New Roman"/>
        </w:rPr>
        <w:t xml:space="preserve">algorytmy mediów społecznościowych aktywnie wykorzystują ten mechanizm jako narzędzie marketingowe napędzające kompulsywną konsumpcję </w:t>
      </w:r>
      <w:r>
        <w:rPr>
          <w:rFonts w:ascii="Times New Roman" w:hAnsi="Times New Roman" w:cs="Times New Roman"/>
        </w:rPr>
        <w:fldChar w:fldCharType="begin"/>
      </w:r>
      <w:r>
        <w:rPr>
          <w:rFonts w:ascii="Times New Roman" w:hAnsi="Times New Roman" w:cs="Times New Roman"/>
        </w:rPr>
        <w:instrText xml:space="preserve"> ADDIN ZOTERO_ITEM CSL_CITATION {"citationID":"N6TrYSOh","properties":{"unsorted":false,"formattedCitation":"(Alfina i in., 2023)","plainCitation":"(Alfina i in., 2023)","noteIndex":0},"citationItems":[{"id":498,"uris":["http://zotero.org/users/local/I21UNnIs/items/8YXLAGFE"],"itemData":{"id":498,"type":"article-journal","container-title":"Cogent Business &amp; Management","DOI":"10.1080/23311975.2023.2250033","ISSN":"2331-1975","issue":"3","journalAbbreviation":"Cogent Business &amp; Management","language":"en","page":"2250033","source":"DOI.org (Crossref)","title":"FOMO related consumer behaviour in marketing context: A systematic literature review","title-short":"FOMO related consumer behaviour in marketing context","volume":"10","author":[{"literal":"Alfina"},{"family":"Hartini","given":"Sri"},{"family":"Mardhiyah","given":"Dien"}],"issued":{"date-parts":[["2023",12,11]]}}}],"schema":"https://github.com/citation-style-language/schema/raw/master/csl-citation.json"} </w:instrText>
      </w:r>
      <w:r>
        <w:rPr>
          <w:rFonts w:ascii="Times New Roman" w:hAnsi="Times New Roman" w:cs="Times New Roman"/>
        </w:rPr>
        <w:fldChar w:fldCharType="separate"/>
      </w:r>
      <w:r>
        <w:rPr>
          <w:rFonts w:ascii="Aptos" w:hAnsi="Aptos"/>
        </w:rPr>
        <w:t>(Alfina i in., 2023)</w:t>
      </w:r>
      <w:r>
        <w:rPr>
          <w:rFonts w:ascii="Times New Roman" w:hAnsi="Times New Roman" w:cs="Times New Roman"/>
        </w:rPr>
        <w:fldChar w:fldCharType="end"/>
      </w:r>
      <w:r>
        <w:rPr>
          <w:rFonts w:ascii="Times New Roman" w:hAnsi="Times New Roman" w:cs="Times New Roman"/>
        </w:rPr>
        <w:t>. FOMO rodzi jednak poważne problemy wywołuj</w:t>
      </w:r>
      <w:r w:rsidR="00AC28B6">
        <w:rPr>
          <w:rFonts w:ascii="Times New Roman" w:hAnsi="Times New Roman" w:cs="Times New Roman"/>
        </w:rPr>
        <w:t>ąc</w:t>
      </w:r>
      <w:r>
        <w:rPr>
          <w:rFonts w:ascii="Times New Roman" w:hAnsi="Times New Roman" w:cs="Times New Roman"/>
        </w:rPr>
        <w:t xml:space="preserve"> przewlekły lęk, stres oraz stany depresyjne. Kompulsywne sprawdzanie telefonu obniża koncentrację i prowadzi do chronicznych zaburzeń snu </w:t>
      </w:r>
      <w:r>
        <w:rPr>
          <w:rFonts w:ascii="Times New Roman" w:hAnsi="Times New Roman" w:cs="Times New Roman"/>
        </w:rPr>
        <w:fldChar w:fldCharType="begin"/>
      </w:r>
      <w:r>
        <w:rPr>
          <w:rFonts w:ascii="Times New Roman" w:hAnsi="Times New Roman" w:cs="Times New Roman"/>
        </w:rPr>
        <w:instrText xml:space="preserve"> ADDIN ZOTERO_ITEM CSL_CITATION {"citationID":"IeQa7Zug","properties":{"unsorted":false,"formattedCitation":"(Ellahi i in., 2021)","plainCitation":"(Ellahi i in., 2021)","noteIndex":0},"citationItems":[{"id":500,"uris":["http://zotero.org/users/local/I21UNnIs/items/DUVSP6VG"],"itemData":{"id":500,"type":"article-journal","abstract":"The over usage and over dependency on digital devices, like smartphones, has been considered as a growing international epidemic. The increased dependency on gadgets, especially smartphones for personal and official uses, has also brought many detrimental effects on individual users. Hence it is vital to understand the negative effects of smartphone usage on human. Therefore, this study aims to investigate the effects of bedtime smartphone usage on work performances, interpersonal conflicts, and work engagement,\n              via\n              the mediating role of sleep quality among employees. Using a cross-sectional study design, a questionnaire-based field survey was conducted on 315 employees who participated as respondents. The results confirmed the negative effects of bedtime smartphone usage on sleep quality. Along with it, the effects of sleep quality on work performances, work engagements and interpersonal conflicts were also proven to be statistically significant. Regarding the mediating role of sleep quality, it was empirically evident that sleep quality mediates the relationship between bedtime smartphone usage with work performances and interpersonal conflicts. The findings revealed that bedtime smartphone usage reduces sleep quality among the employees, resulting in lower work performances and engagements while contributing to higher interpersonal conflicts. The findings concluded that smartphone usage before sleep increases the prospects of employees to be less productive, less engaged, and have more workplace conflicts. The findings warrant the continued managerial as well as academic research attention, as the smartphones are now used by many organisations to run businesses as well.","container-title":"Frontiers in Psychology","DOI":"10.3389/fpsyg.2021.698413","ISSN":"1664-1078","journalAbbreviation":"Front. Psychol.","page":"698413","source":"DOI.org (Crossref)","title":"Bedtime Smart Phone Usage and Its Effects on Work-Related Behaviour at Workplace","volume":"12","author":[{"family":"Ellahi","given":"Abida"},{"family":"Javed","given":"Yasir"},{"family":"Begum","given":"Samina"},{"family":"Mushtaq","given":"Rabia"},{"family":"Rehman","given":"Mobashar"},{"family":"Rehman","given":"Hafiz Mudassir"}],"issued":{"date-parts":[["2021",8,18]]}}}],"schema":"https://github.com/citation-style-language/schema/raw/master/csl-citation.json"} </w:instrText>
      </w:r>
      <w:r>
        <w:rPr>
          <w:rFonts w:ascii="Times New Roman" w:hAnsi="Times New Roman" w:cs="Times New Roman"/>
        </w:rPr>
        <w:fldChar w:fldCharType="separate"/>
      </w:r>
      <w:r>
        <w:rPr>
          <w:rFonts w:ascii="Aptos" w:hAnsi="Aptos"/>
        </w:rPr>
        <w:t>(Ellahi i in., 2021)</w:t>
      </w:r>
      <w:r>
        <w:rPr>
          <w:rFonts w:ascii="Times New Roman" w:hAnsi="Times New Roman" w:cs="Times New Roman"/>
        </w:rPr>
        <w:fldChar w:fldCharType="end"/>
      </w:r>
      <w:r>
        <w:rPr>
          <w:rFonts w:ascii="Times New Roman" w:hAnsi="Times New Roman" w:cs="Times New Roman"/>
        </w:rPr>
        <w:t>. Zjawisko to negatywnie oddziałuje również na relacje interpersonalne</w:t>
      </w:r>
      <w:r w:rsidR="00AC28B6">
        <w:rPr>
          <w:rFonts w:ascii="Times New Roman" w:hAnsi="Times New Roman" w:cs="Times New Roman"/>
        </w:rPr>
        <w:t xml:space="preserve"> – </w:t>
      </w:r>
      <w:r>
        <w:rPr>
          <w:rFonts w:ascii="Times New Roman" w:hAnsi="Times New Roman" w:cs="Times New Roman"/>
        </w:rPr>
        <w:t xml:space="preserve"> preferowanie interakcji wirtualnych kosztem kontaktu bezpośredniego osłabia więzi z bliskimi </w:t>
      </w:r>
      <w:r>
        <w:rPr>
          <w:rFonts w:ascii="Times New Roman" w:hAnsi="Times New Roman" w:cs="Times New Roman"/>
        </w:rPr>
        <w:fldChar w:fldCharType="begin"/>
      </w:r>
      <w:r>
        <w:rPr>
          <w:rFonts w:ascii="Times New Roman" w:hAnsi="Times New Roman" w:cs="Times New Roman"/>
        </w:rPr>
        <w:instrText xml:space="preserve"> ADDIN ZOTERO_ITEM CSL_CITATION {"citationID":"Ps90cN3q","properties":{"unsorted":false,"formattedCitation":"(Peleg &amp; Boniel-Nissim, 2024)","plainCitation":"(Peleg &amp; Boniel-Nissim, 2024)","noteIndex":0},"citationItems":[{"id":502,"uris":["http://zotero.org/users/local/I21UNnIs/items/BJB8RDVZ"],"itemData":{"id":502,"type":"article-journal","abstract":"Abstract\n            One of the family patterns crucial for mental and physical well-being is differentiation of self. In this study, our aim was to investigate its impact on the phenomenon of phubbing—where individuals prioritize smartphones over in-person interactions. The prevalence of phubbing behavior has risen substantially in tandem with the increased adoption of smartphones. The study investigated familial, interpersonal, and personal factors that could potentially contribute to the escalation of phubbing behaviors. It was hypothesized that differentiation of self would be associated with phubbing through the mediation of fear of missing out, romantic relationship satisfaction, and loneliness in intimate relationships. We also expected gender differences in the study variables. A sample of 431 young adults, with an average age of 29 (M = 29.05, SD = 9.14), completed the DSI-R, Phubbing, FoMO, ENRICH, and LIRS questionnaires online. Results indicated that fear of missing out mediated the relationship between three dimensions of differentiation of self—emotional reactivity, emotional cutoff, and fusion with others—and phubbing behavior. However, the expected mediation by romantic relationship satisfaction and loneliness in intimate relationships did not reach significance, although these variables were found to be associated with differentiation of self. Women reported higher levels of phubbing behavior, emotional reactivity, and fusion with others, whereas men reported higher levels of I-position. We conclude that fear of missing out may serve as a catalyst, triggering anxiety in individuals, which in turn drives them to adopt phubbing as a coping mechanism. Moreover, individuals with lower levels of differentiation of self appear to be at increased risk of engaging in phubbing behaviors through the mediation of fear of missing out.","container-title":"Scientific Reports","DOI":"10.1038/s41598-024-55560-1","ISSN":"2045-2322","issue":"1","journalAbbreviation":"Sci Rep","language":"en","page":"6572","source":"DOI.org (Crossref)","title":"Exploring the personality and relationship factors that mediate the connection between differentiation of self and phubbing","volume":"14","author":[{"family":"Peleg","given":"Ora"},{"family":"Boniel-Nissim","given":"Meyran"}],"issued":{"date-parts":[["2024",3,19]]}}}],"schema":"https://github.com/citation-style-language/schema/raw/master/csl-citation.json"} </w:instrText>
      </w:r>
      <w:r>
        <w:rPr>
          <w:rFonts w:ascii="Times New Roman" w:hAnsi="Times New Roman" w:cs="Times New Roman"/>
        </w:rPr>
        <w:fldChar w:fldCharType="separate"/>
      </w:r>
      <w:r>
        <w:rPr>
          <w:rFonts w:ascii="Aptos" w:hAnsi="Aptos"/>
        </w:rPr>
        <w:t>(Peleg &amp; Boniel-Nissim, 2024)</w:t>
      </w:r>
      <w:r>
        <w:rPr>
          <w:rFonts w:ascii="Times New Roman" w:hAnsi="Times New Roman" w:cs="Times New Roman"/>
        </w:rPr>
        <w:fldChar w:fldCharType="end"/>
      </w:r>
      <w:r>
        <w:rPr>
          <w:rFonts w:ascii="Times New Roman" w:hAnsi="Times New Roman" w:cs="Times New Roman"/>
        </w:rPr>
        <w:t>.</w:t>
      </w:r>
    </w:p>
    <w:p w14:paraId="52569B3A" w14:textId="5F6EF8E4" w:rsidR="00CD0A9D" w:rsidRDefault="00CD0A9D" w:rsidP="00B072A7">
      <w:pPr>
        <w:spacing w:line="360" w:lineRule="auto"/>
        <w:ind w:firstLine="709"/>
        <w:contextualSpacing/>
        <w:rPr>
          <w:rFonts w:ascii="Times New Roman" w:hAnsi="Times New Roman" w:cs="Times New Roman"/>
        </w:rPr>
      </w:pPr>
      <w:r>
        <w:rPr>
          <w:rFonts w:ascii="Times New Roman" w:hAnsi="Times New Roman" w:cs="Times New Roman"/>
        </w:rPr>
        <w:t xml:space="preserve">Dotychczasowe badania nad FOMO opierały się głównie na metodach kwestionariuszowych </w:t>
      </w:r>
      <w:r>
        <w:rPr>
          <w:rFonts w:ascii="Times New Roman" w:hAnsi="Times New Roman" w:cs="Times New Roman"/>
        </w:rPr>
        <w:fldChar w:fldCharType="begin"/>
      </w:r>
      <w:r>
        <w:rPr>
          <w:rFonts w:ascii="Times New Roman" w:hAnsi="Times New Roman" w:cs="Times New Roman"/>
        </w:rPr>
        <w:instrText xml:space="preserve"> ADDIN ZOTERO_ITEM CSL_CITATION {"citationID":"u2aUfnZ8","properties":{"unsorted":false,"formattedCitation":"(Przybylski i in., 2013)","plainCitation":"(Przybylski i in., 2013)","noteIndex":0},"citationItems":[{"id":492,"uris":["http://zotero.org/users/local/I21UNnIs/items/ER5IJTYI"],"itemData":{"id":492,"type":"article-journal","container-title":"Computers in Human Behavior","DOI":"10.1016/j.chb.2013.02.014","ISSN":"07475632","issue":"4","journalAbbreviation":"Computers in Human Behavior","language":"en","page":"1841-1848","source":"DOI.org (Crossref)","title":"Motivational, emotional, and behavioral correlates of fear of missing out","volume":"29","author":[{"family":"Przybylski","given":"Andrew K."},{"family":"Murayama","given":"Kou"},{"family":"DeHaan","given":"Cody R."},{"family":"Gladwell","given":"Valerie"}],"issued":{"date-parts":[["2013",7]]}}}],"schema":"https://github.com/citation-style-language/schema/raw/master/csl-citation.json"} </w:instrText>
      </w:r>
      <w:r>
        <w:rPr>
          <w:rFonts w:ascii="Times New Roman" w:hAnsi="Times New Roman" w:cs="Times New Roman"/>
        </w:rPr>
        <w:fldChar w:fldCharType="separate"/>
      </w:r>
      <w:r>
        <w:rPr>
          <w:rFonts w:ascii="Aptos" w:hAnsi="Aptos"/>
        </w:rPr>
        <w:t>(Przybylski i in., 2013)</w:t>
      </w:r>
      <w:r>
        <w:rPr>
          <w:rFonts w:ascii="Times New Roman" w:hAnsi="Times New Roman" w:cs="Times New Roman"/>
        </w:rPr>
        <w:fldChar w:fldCharType="end"/>
      </w:r>
      <w:r>
        <w:rPr>
          <w:rFonts w:ascii="Times New Roman" w:hAnsi="Times New Roman" w:cs="Times New Roman"/>
        </w:rPr>
        <w:t xml:space="preserve">. Metoda EEG pozwala natomiast obiektywnie rejestrować aktywność mózgu z rozdzielczością milisekundową, umożliwiając precyzyjny pomiar reakcji neuronalnych na bodźce dźwiękowe. Badania potwierdzają, że wysokie nasilenie FOMO obniża sprawność samokontroli i mediuje kompulsywne zachowania, zmuszając do ciągłego sprawdzania telefonu </w:t>
      </w:r>
      <w:r>
        <w:rPr>
          <w:rFonts w:ascii="Times New Roman" w:hAnsi="Times New Roman" w:cs="Times New Roman"/>
        </w:rPr>
        <w:fldChar w:fldCharType="begin"/>
      </w:r>
      <w:r>
        <w:rPr>
          <w:rFonts w:ascii="Times New Roman" w:hAnsi="Times New Roman" w:cs="Times New Roman"/>
        </w:rPr>
        <w:instrText xml:space="preserve"> ADDIN ZOTERO_ITEM CSL_CITATION {"citationID":"8RDtAXmW","properties":{"unsorted":false,"formattedCitation":"(Tak\\uc0\\u225{}cs &amp; Sereg\\uc0\\u233{}ly, 2025; Wang i in., 2023)","plainCitation":"(Takács &amp; Seregély, 2025; Wang i in., 2023)","noteIndex":0},"citationItems":[{"id":505,"uris":["http://zotero.org/users/local/I21UNnIs/items/PVK4CKIV"],"itemData":{"id":505,"type":"article-journal","container-title":"Acta Psychologica","DOI":"10.1016/j.actpsy.2025.105608","ISSN":"00016918","journalAbbreviation":"Acta Psychologica","language":"en","page":"105608","source":"DOI.org (Crossref)","title":"Parallel mediation of FoMO and self-control on the relationship between problematic smartphone use and neuroticism, at-risk group's characteristics among young adults","volume":"260","author":[{"family":"Takács","given":"Johanna"},{"family":"Seregély","given":"Beáta"}],"issued":{"date-parts":[["2025",10]]}}},{"id":504,"uris":["http://zotero.org/users/local/I21UNnIs/items/CRFZ9DVJ"],"itemData":{"id":504,"type":"article-journal","container-title":"Addictive Behaviors","DOI":"10.1016/j.addbeh.2023.107709","ISSN":"03064603","journalAbbreviation":"Addictive Behaviors","language":"en","page":"107709","source":"DOI.org (Crossref)","title":"Fear of missing out (FOMO) associates with reduced cortical thickness in core regions of the posterior default mode network and higher levels of problematic smartphone and social media use","volume":"143","author":[{"family":"Wang","given":"Lan"},{"family":"Zhou","given":"Xinqi"},{"family":"Song","given":"Xinwei"},{"family":"Gan","given":"Xianyang"},{"family":"Zhang","given":"Ran"},{"family":"Liu","given":"Xiqin"},{"family":"Xu","given":"Ting"},{"family":"Jiao","given":"Guojuan"},{"family":"Ferraro","given":"Stefania"},{"family":"Bore","given":"Mercy Chepngetich"},{"family":"Yu","given":"Fangwen"},{"family":"Zhao","given":"Weihua"},{"family":"Montag","given":"Christian"},{"family":"Becker","given":"Benjamin"}],"issued":{"date-parts":[["2023",8]]}}}],"schema":"https://github.com/citation-style-language/schema/raw/master/csl-citation.json"} </w:instrText>
      </w:r>
      <w:r>
        <w:rPr>
          <w:rFonts w:ascii="Times New Roman" w:hAnsi="Times New Roman" w:cs="Times New Roman"/>
        </w:rPr>
        <w:fldChar w:fldCharType="separate"/>
      </w:r>
      <w:r>
        <w:rPr>
          <w:rFonts w:ascii="Aptos" w:hAnsi="Aptos" w:cs="Times New Roman"/>
          <w:kern w:val="0"/>
        </w:rPr>
        <w:t>(Takács &amp; Seregély, 2025; Wang i in., 2023)</w:t>
      </w:r>
      <w:r>
        <w:rPr>
          <w:rFonts w:ascii="Times New Roman" w:hAnsi="Times New Roman" w:cs="Times New Roman"/>
        </w:rPr>
        <w:fldChar w:fldCharType="end"/>
      </w:r>
      <w:r>
        <w:rPr>
          <w:rFonts w:ascii="Times New Roman" w:hAnsi="Times New Roman" w:cs="Times New Roman"/>
        </w:rPr>
        <w:t>.</w:t>
      </w:r>
    </w:p>
    <w:p w14:paraId="60FC5088" w14:textId="77777777" w:rsidR="00CD0A9D" w:rsidRDefault="00CD0A9D" w:rsidP="00B072A7">
      <w:pPr>
        <w:spacing w:line="360" w:lineRule="auto"/>
        <w:ind w:firstLine="709"/>
        <w:contextualSpacing/>
        <w:rPr>
          <w:rFonts w:ascii="Times New Roman" w:hAnsi="Times New Roman" w:cs="Times New Roman"/>
        </w:rPr>
      </w:pPr>
    </w:p>
    <w:p w14:paraId="0389CE9E" w14:textId="23E31233" w:rsidR="00B072A7" w:rsidRPr="00D54759" w:rsidRDefault="00B072A7" w:rsidP="00B072A7">
      <w:pPr>
        <w:spacing w:line="360" w:lineRule="auto"/>
        <w:ind w:firstLine="709"/>
        <w:contextualSpacing/>
        <w:rPr>
          <w:rFonts w:ascii="Times New Roman" w:hAnsi="Times New Roman" w:cs="Times New Roman"/>
          <w:b/>
          <w:bCs/>
        </w:rPr>
      </w:pPr>
      <w:r>
        <w:rPr>
          <w:rFonts w:ascii="Times New Roman" w:hAnsi="Times New Roman" w:cs="Times New Roman"/>
          <w:b/>
          <w:bCs/>
        </w:rPr>
        <w:t>C</w:t>
      </w:r>
      <w:r w:rsidR="00AC28B6">
        <w:rPr>
          <w:rFonts w:ascii="Times New Roman" w:hAnsi="Times New Roman" w:cs="Times New Roman"/>
          <w:b/>
          <w:bCs/>
        </w:rPr>
        <w:t>el, pytanie badawcze i hipotezy</w:t>
      </w:r>
    </w:p>
    <w:p w14:paraId="66D711AE" w14:textId="77777777" w:rsidR="00B072A7" w:rsidRDefault="00B072A7" w:rsidP="00B072A7">
      <w:pPr>
        <w:spacing w:line="360" w:lineRule="auto"/>
        <w:ind w:firstLine="709"/>
        <w:contextualSpacing/>
        <w:rPr>
          <w:rFonts w:ascii="Times New Roman" w:hAnsi="Times New Roman" w:cs="Times New Roman"/>
        </w:rPr>
      </w:pPr>
    </w:p>
    <w:p w14:paraId="2160CD44" w14:textId="6310C717" w:rsidR="00E96025" w:rsidRPr="00B072A7" w:rsidRDefault="00E96025" w:rsidP="00B072A7">
      <w:pPr>
        <w:spacing w:line="360" w:lineRule="auto"/>
        <w:ind w:firstLine="709"/>
        <w:contextualSpacing/>
        <w:rPr>
          <w:rFonts w:ascii="Times New Roman" w:hAnsi="Times New Roman" w:cs="Times New Roman"/>
        </w:rPr>
      </w:pPr>
      <w:r>
        <w:rPr>
          <w:rFonts w:ascii="Times New Roman" w:hAnsi="Times New Roman" w:cs="Times New Roman"/>
        </w:rPr>
        <w:t>Niniejszy projekt ma na celu zbadanie neurobiologicznych mechanizmów FOMO, aby za pomocą aparatury EEG precyzyjnie określić, które obszary mózgu i jakie wzorce fal elektrycznych aktywują się pod wpływem cyfrowych bodźców oraz lęku przed wykluczeniem społecznym.</w:t>
      </w:r>
    </w:p>
    <w:p w14:paraId="0ECB8C84" w14:textId="77777777" w:rsidR="00E96025" w:rsidRPr="00D54759" w:rsidRDefault="00E96025" w:rsidP="00B072A7">
      <w:pPr>
        <w:spacing w:line="360" w:lineRule="auto"/>
        <w:ind w:firstLine="709"/>
        <w:contextualSpacing/>
        <w:rPr>
          <w:rFonts w:ascii="Times New Roman" w:hAnsi="Times New Roman" w:cs="Times New Roman"/>
          <w:b/>
          <w:bCs/>
        </w:rPr>
      </w:pPr>
    </w:p>
    <w:p w14:paraId="7996285C" w14:textId="7B6D7A9D" w:rsidR="00E96025" w:rsidRPr="00575D1D" w:rsidRDefault="00E96025" w:rsidP="00B072A7">
      <w:pPr>
        <w:spacing w:line="360" w:lineRule="auto"/>
        <w:ind w:firstLine="709"/>
        <w:contextualSpacing/>
        <w:rPr>
          <w:rFonts w:ascii="Times New Roman" w:hAnsi="Times New Roman" w:cs="Times New Roman"/>
        </w:rPr>
      </w:pPr>
      <w:r>
        <w:rPr>
          <w:rFonts w:ascii="Times New Roman" w:hAnsi="Times New Roman" w:cs="Times New Roman"/>
        </w:rPr>
        <w:lastRenderedPageBreak/>
        <w:t>Pytanie badawcze: Jak znane dźwiękowe powiadomienia z mediów społecznościo</w:t>
      </w:r>
      <w:r w:rsidR="00AC28B6">
        <w:rPr>
          <w:rFonts w:ascii="Times New Roman" w:hAnsi="Times New Roman" w:cs="Times New Roman"/>
        </w:rPr>
        <w:t>-</w:t>
      </w:r>
      <w:r>
        <w:rPr>
          <w:rFonts w:ascii="Times New Roman" w:hAnsi="Times New Roman" w:cs="Times New Roman"/>
        </w:rPr>
        <w:t>wych wpływają na aktywność bioelektryczną mózgu u osób o wysokim i niskim poziomie FOMO, gdy nie mają one możliwości sprawdzenia swojego telefonu?</w:t>
      </w:r>
    </w:p>
    <w:p w14:paraId="10974C88" w14:textId="7F61F5A0" w:rsidR="00E96025" w:rsidRPr="00575D1D" w:rsidRDefault="00E96025" w:rsidP="00B072A7">
      <w:pPr>
        <w:spacing w:line="360" w:lineRule="auto"/>
        <w:ind w:firstLine="709"/>
        <w:contextualSpacing/>
        <w:rPr>
          <w:rFonts w:ascii="Times New Roman" w:hAnsi="Times New Roman" w:cs="Times New Roman"/>
        </w:rPr>
      </w:pPr>
      <w:r>
        <w:rPr>
          <w:rFonts w:ascii="Times New Roman" w:hAnsi="Times New Roman" w:cs="Times New Roman"/>
        </w:rPr>
        <w:t>H1: Usłyszenie dźwięku wywoła u osób z wysokim FOMO silniejszy spadek mocy fal alfa w lewej korze czołowej w porównaniu do grupy z niskim FOMO. Jest to mierzone za pomocą EEG wskaźnikiem FFA</w:t>
      </w:r>
      <w:r w:rsidR="00AC28B6">
        <w:rPr>
          <w:rFonts w:ascii="Times New Roman" w:hAnsi="Times New Roman" w:cs="Times New Roman"/>
        </w:rPr>
        <w:t xml:space="preserve"> (</w:t>
      </w:r>
      <w:r>
        <w:rPr>
          <w:rFonts w:ascii="Times New Roman" w:hAnsi="Times New Roman" w:cs="Times New Roman"/>
        </w:rPr>
        <w:t>Frontal Alpha Asymmetry</w:t>
      </w:r>
      <w:r w:rsidR="00AC28B6">
        <w:rPr>
          <w:rFonts w:ascii="Times New Roman" w:hAnsi="Times New Roman" w:cs="Times New Roman"/>
        </w:rPr>
        <w:t>)</w:t>
      </w:r>
      <w:r>
        <w:rPr>
          <w:rFonts w:ascii="Times New Roman" w:hAnsi="Times New Roman" w:cs="Times New Roman"/>
        </w:rPr>
        <w:t xml:space="preserve"> asymetrii czołowej alfa, co oznacza wyższe pobudzenie neuronów (desynchronizacja alfa = odhamowanie aktywności korowej). </w:t>
      </w:r>
    </w:p>
    <w:p w14:paraId="628CCFE5" w14:textId="15B2AA4E" w:rsidR="006914BA" w:rsidRDefault="00E96025" w:rsidP="00B072A7">
      <w:pPr>
        <w:spacing w:line="360" w:lineRule="auto"/>
        <w:ind w:firstLine="709"/>
        <w:contextualSpacing/>
        <w:rPr>
          <w:rFonts w:ascii="Times New Roman" w:hAnsi="Times New Roman" w:cs="Times New Roman"/>
        </w:rPr>
      </w:pPr>
      <w:r>
        <w:rPr>
          <w:rFonts w:ascii="Times New Roman" w:hAnsi="Times New Roman" w:cs="Times New Roman"/>
        </w:rPr>
        <w:t>H2: Osoby o wysokim poziomie FOMO wykażą istotnie wyższą amplitudę oraz brak habituacji fali P300 w odpowiedzi na powiadomienia telefoniczne w porównaniu do osób o niskim poziomie FOMO, u których reakcja ta będzie umiarkowana i będzie słabła przy kolejnych powtórzeniach sygnału</w:t>
      </w:r>
      <w:r w:rsidR="00AC28B6">
        <w:rPr>
          <w:rStyle w:val="Odwoanieprzypisukocowego"/>
          <w:rFonts w:ascii="Times New Roman" w:hAnsi="Times New Roman" w:cs="Times New Roman"/>
        </w:rPr>
        <w:endnoteReference w:id="1"/>
      </w:r>
      <w:r>
        <w:rPr>
          <w:rFonts w:ascii="Times New Roman" w:hAnsi="Times New Roman" w:cs="Times New Roman"/>
        </w:rPr>
        <w:t>.</w:t>
      </w:r>
    </w:p>
    <w:p w14:paraId="09041EC3" w14:textId="77777777" w:rsidR="00575D1D" w:rsidRPr="00D54759" w:rsidRDefault="00575D1D" w:rsidP="00B072A7">
      <w:pPr>
        <w:spacing w:line="360" w:lineRule="auto"/>
        <w:ind w:firstLine="709"/>
        <w:contextualSpacing/>
        <w:rPr>
          <w:rFonts w:ascii="Times New Roman" w:hAnsi="Times New Roman" w:cs="Times New Roman"/>
          <w:b/>
          <w:bCs/>
        </w:rPr>
      </w:pPr>
    </w:p>
    <w:p w14:paraId="4F9582CE" w14:textId="55E139BD" w:rsidR="00E96025" w:rsidRPr="00D54759" w:rsidRDefault="00AC28B6" w:rsidP="00B072A7">
      <w:pPr>
        <w:spacing w:line="360" w:lineRule="auto"/>
        <w:ind w:firstLine="709"/>
        <w:contextualSpacing/>
        <w:rPr>
          <w:rFonts w:ascii="Times New Roman" w:hAnsi="Times New Roman" w:cs="Times New Roman"/>
          <w:b/>
          <w:bCs/>
        </w:rPr>
      </w:pPr>
      <w:r>
        <w:rPr>
          <w:rFonts w:ascii="Times New Roman" w:hAnsi="Times New Roman" w:cs="Times New Roman"/>
          <w:b/>
          <w:bCs/>
        </w:rPr>
        <w:t>Metodologia</w:t>
      </w:r>
    </w:p>
    <w:p w14:paraId="11CA510B" w14:textId="77777777" w:rsidR="00AC28B6" w:rsidRDefault="00AC28B6" w:rsidP="009333CB">
      <w:pPr>
        <w:spacing w:after="0" w:line="360" w:lineRule="auto"/>
        <w:ind w:firstLine="709"/>
        <w:rPr>
          <w:rFonts w:ascii="Times New Roman" w:hAnsi="Times New Roman" w:cs="Times New Roman"/>
        </w:rPr>
      </w:pPr>
    </w:p>
    <w:p w14:paraId="637510EA" w14:textId="59E71981" w:rsidR="00E96025" w:rsidRPr="00D54759" w:rsidRDefault="00AC28B6" w:rsidP="009333CB">
      <w:pPr>
        <w:spacing w:after="0" w:line="360" w:lineRule="auto"/>
        <w:ind w:firstLine="709"/>
        <w:rPr>
          <w:rFonts w:ascii="Times New Roman" w:hAnsi="Times New Roman" w:cs="Times New Roman"/>
        </w:rPr>
      </w:pPr>
      <w:r>
        <w:rPr>
          <w:rFonts w:ascii="Times New Roman" w:hAnsi="Times New Roman" w:cs="Times New Roman"/>
        </w:rPr>
        <w:t>G</w:t>
      </w:r>
      <w:r w:rsidR="00D54759">
        <w:rPr>
          <w:rFonts w:ascii="Times New Roman" w:hAnsi="Times New Roman" w:cs="Times New Roman"/>
        </w:rPr>
        <w:t>rupa badawcza (N = 40, wiek 18–25 lat) zostanie wyłoniona metodą doboru skrajnego z większej próby studentów przebadanych kwestionariuszem FoMOs (FOMO scale). Do właściwego badania EEG zakwalifikowane zostaną dwie równe podgrupy: Grupa A (20 osób z najwyższymi wynikami – wysokie FOMO) oraz Grupa B (20 osób z najniższymi wynikami – niskie FOMO).</w:t>
      </w:r>
      <w:r w:rsidR="00D54759">
        <w:rPr>
          <w:rFonts w:ascii="Times New Roman" w:hAnsi="Times New Roman" w:cs="Times New Roman"/>
        </w:rPr>
        <w:br/>
      </w:r>
    </w:p>
    <w:p w14:paraId="1D16BCB9" w14:textId="307D5515" w:rsidR="00E96025" w:rsidRPr="00D54759" w:rsidRDefault="00E96025" w:rsidP="009333CB">
      <w:pPr>
        <w:pStyle w:val="Akapitzlist"/>
        <w:numPr>
          <w:ilvl w:val="0"/>
          <w:numId w:val="8"/>
        </w:numPr>
        <w:spacing w:line="360" w:lineRule="auto"/>
        <w:ind w:hanging="11"/>
        <w:rPr>
          <w:rFonts w:ascii="Times New Roman" w:hAnsi="Times New Roman" w:cs="Times New Roman"/>
        </w:rPr>
      </w:pPr>
      <w:r>
        <w:rPr>
          <w:rFonts w:ascii="Times New Roman" w:hAnsi="Times New Roman" w:cs="Times New Roman"/>
        </w:rPr>
        <w:t>Aparatura i narzędzia</w:t>
      </w:r>
    </w:p>
    <w:p w14:paraId="010359C8" w14:textId="77777777" w:rsidR="00CB60CD" w:rsidRPr="00CB60CD" w:rsidRDefault="00CB60CD" w:rsidP="00CB60CD">
      <w:pPr>
        <w:pStyle w:val="Akapitzlist"/>
        <w:numPr>
          <w:ilvl w:val="0"/>
          <w:numId w:val="10"/>
        </w:numPr>
        <w:spacing w:after="0" w:line="360" w:lineRule="auto"/>
        <w:rPr>
          <w:rFonts w:ascii="Times New Roman" w:hAnsi="Times New Roman" w:cs="Times New Roman"/>
        </w:rPr>
      </w:pPr>
      <w:r>
        <w:rPr>
          <w:rFonts w:ascii="Times New Roman" w:hAnsi="Times New Roman" w:cs="Times New Roman"/>
        </w:rPr>
        <w:t xml:space="preserve">64-kanałowy system EEG firmy Brain Products (czepek actiCAP slim z aktywnymi elektrodami żelowymi, wzmacniacz actiCHamp), umożliwiający zapis sygnału o wysokiej rozdzielczości przestrzennej przy impedancji poniżej 5 kΩ;  </w:t>
      </w:r>
    </w:p>
    <w:p w14:paraId="100F1A11" w14:textId="77777777" w:rsidR="00CB60CD" w:rsidRPr="00CB60CD" w:rsidRDefault="00CB60CD" w:rsidP="00CB60CD">
      <w:pPr>
        <w:pStyle w:val="Akapitzlist"/>
        <w:numPr>
          <w:ilvl w:val="0"/>
          <w:numId w:val="10"/>
        </w:numPr>
        <w:spacing w:after="0" w:line="360" w:lineRule="auto"/>
        <w:rPr>
          <w:rFonts w:ascii="Times New Roman" w:hAnsi="Times New Roman" w:cs="Times New Roman"/>
        </w:rPr>
      </w:pPr>
      <w:r>
        <w:rPr>
          <w:rFonts w:ascii="Times New Roman" w:hAnsi="Times New Roman" w:cs="Times New Roman"/>
        </w:rPr>
        <w:t>Oprogramowanie OpenSesame do generowania bodźców dźwiękowych;</w:t>
      </w:r>
    </w:p>
    <w:p w14:paraId="0617C25F" w14:textId="77777777" w:rsidR="00CB60CD" w:rsidRPr="00CB60CD" w:rsidRDefault="00CB60CD" w:rsidP="00CB60CD">
      <w:pPr>
        <w:pStyle w:val="Akapitzlist"/>
        <w:numPr>
          <w:ilvl w:val="0"/>
          <w:numId w:val="10"/>
        </w:numPr>
        <w:spacing w:after="0" w:line="360" w:lineRule="auto"/>
        <w:rPr>
          <w:rFonts w:ascii="Times New Roman" w:hAnsi="Times New Roman" w:cs="Times New Roman"/>
        </w:rPr>
      </w:pPr>
      <w:r>
        <w:rPr>
          <w:rFonts w:ascii="Times New Roman" w:hAnsi="Times New Roman" w:cs="Times New Roman"/>
        </w:rPr>
        <w:t>USB Trigger Box (precyzja znaczników czasowych &lt;1 ms) do synchronizacji z sygnałem EEG;</w:t>
      </w:r>
    </w:p>
    <w:p w14:paraId="16AD8FD4" w14:textId="5D3F8012" w:rsidR="007A41D7" w:rsidRDefault="00CB60CD" w:rsidP="00CB60CD">
      <w:pPr>
        <w:pStyle w:val="Akapitzlist"/>
        <w:numPr>
          <w:ilvl w:val="0"/>
          <w:numId w:val="10"/>
        </w:numPr>
        <w:spacing w:after="0" w:line="360" w:lineRule="auto"/>
        <w:rPr>
          <w:rFonts w:ascii="Times New Roman" w:hAnsi="Times New Roman" w:cs="Times New Roman"/>
        </w:rPr>
      </w:pPr>
      <w:r>
        <w:rPr>
          <w:rFonts w:ascii="Times New Roman" w:hAnsi="Times New Roman" w:cs="Times New Roman"/>
        </w:rPr>
        <w:t>Smartfon badanego</w:t>
      </w:r>
    </w:p>
    <w:p w14:paraId="57BF2D15" w14:textId="63F3B4A8" w:rsidR="00264258" w:rsidRPr="00CB60CD" w:rsidRDefault="00264258" w:rsidP="00CB60CD">
      <w:pPr>
        <w:pStyle w:val="Akapitzlist"/>
        <w:numPr>
          <w:ilvl w:val="0"/>
          <w:numId w:val="10"/>
        </w:numPr>
        <w:spacing w:after="0" w:line="360" w:lineRule="auto"/>
        <w:rPr>
          <w:rFonts w:ascii="Times New Roman" w:hAnsi="Times New Roman" w:cs="Times New Roman"/>
        </w:rPr>
      </w:pPr>
      <w:r>
        <w:rPr>
          <w:rFonts w:ascii="Times New Roman" w:hAnsi="Times New Roman" w:cs="Times New Roman"/>
        </w:rPr>
        <w:t>Skala FoMO (Fear of Missing Out Scale) autorstwa Przybylskiego i współpracowników (2013) — 10-itemowy kwestionariusz samoopisowy w skali Likerta (1–5), służąca do pomiaru nasilenia lęku przed przegapieniem; stosowana jako narzędzie selekcji uczestników oraz zmienna różnicująca w analizie danych</w:t>
      </w:r>
    </w:p>
    <w:p w14:paraId="28E73EE9" w14:textId="75F86022" w:rsidR="00E96025" w:rsidRPr="00D54759" w:rsidRDefault="00E96025" w:rsidP="009333CB">
      <w:pPr>
        <w:spacing w:after="0" w:line="360" w:lineRule="auto"/>
        <w:ind w:left="714" w:hanging="11"/>
        <w:contextualSpacing/>
        <w:rPr>
          <w:rFonts w:ascii="Times New Roman" w:hAnsi="Times New Roman" w:cs="Times New Roman"/>
        </w:rPr>
      </w:pPr>
    </w:p>
    <w:p w14:paraId="4A653115" w14:textId="6283320F" w:rsidR="00E96025" w:rsidRPr="00D54759" w:rsidRDefault="00E96025" w:rsidP="009333CB">
      <w:pPr>
        <w:pStyle w:val="Akapitzlist"/>
        <w:numPr>
          <w:ilvl w:val="0"/>
          <w:numId w:val="8"/>
        </w:numPr>
        <w:spacing w:line="360" w:lineRule="auto"/>
        <w:ind w:hanging="11"/>
        <w:rPr>
          <w:rFonts w:ascii="Times New Roman" w:hAnsi="Times New Roman" w:cs="Times New Roman"/>
        </w:rPr>
      </w:pPr>
      <w:r>
        <w:rPr>
          <w:rFonts w:ascii="Times New Roman" w:hAnsi="Times New Roman" w:cs="Times New Roman"/>
        </w:rPr>
        <w:t>Procedura badawcza</w:t>
      </w:r>
    </w:p>
    <w:p w14:paraId="5B171999" w14:textId="77777777" w:rsidR="00DC0DB8" w:rsidRPr="00DC0DB8" w:rsidRDefault="00DC0DB8" w:rsidP="00DC0DB8">
      <w:pPr>
        <w:spacing w:line="360" w:lineRule="auto"/>
        <w:ind w:firstLine="709"/>
        <w:contextualSpacing/>
        <w:rPr>
          <w:rFonts w:ascii="Times New Roman" w:hAnsi="Times New Roman" w:cs="Times New Roman"/>
        </w:rPr>
      </w:pPr>
      <w:r>
        <w:rPr>
          <w:rFonts w:ascii="Times New Roman" w:hAnsi="Times New Roman" w:cs="Times New Roman"/>
        </w:rPr>
        <w:t>Przygotowanie</w:t>
      </w:r>
    </w:p>
    <w:p w14:paraId="203DE005" w14:textId="086E935A" w:rsidR="00DC0DB8" w:rsidRPr="00DC0DB8" w:rsidRDefault="00DC0DB8" w:rsidP="00DC0DB8">
      <w:pPr>
        <w:spacing w:line="360" w:lineRule="auto"/>
        <w:ind w:firstLine="709"/>
        <w:contextualSpacing/>
        <w:rPr>
          <w:rFonts w:ascii="Times New Roman" w:hAnsi="Times New Roman" w:cs="Times New Roman"/>
        </w:rPr>
      </w:pPr>
      <w:r>
        <w:rPr>
          <w:rFonts w:ascii="Times New Roman" w:hAnsi="Times New Roman" w:cs="Times New Roman"/>
        </w:rPr>
        <w:t>Przed przystąpieniem do badania uczestnik zapoznaje się z jego celem i procedurą, a następnie podpisuje świadomą zgodę na udział. Badacz zakłada uczestnikowi 64-kanałowy czepek EEG, nakładając żel przewodzący na każdą elektrodę i weryfikując impedancję (poniżej 5 kΩ). Przed sesją ustalany jest z uczestnikiem indywidualny dźwięk powiadomienia z jego aplikacji mediów społecznościowych</w:t>
      </w:r>
      <w:r w:rsidR="00AC28B6">
        <w:rPr>
          <w:rFonts w:ascii="Times New Roman" w:hAnsi="Times New Roman" w:cs="Times New Roman"/>
        </w:rPr>
        <w:t xml:space="preserve">, czyli </w:t>
      </w:r>
      <w:r>
        <w:rPr>
          <w:rFonts w:ascii="Times New Roman" w:hAnsi="Times New Roman" w:cs="Times New Roman"/>
        </w:rPr>
        <w:t>ten, którego używa na co dzień</w:t>
      </w:r>
      <w:r w:rsidR="00AC28B6">
        <w:rPr>
          <w:rFonts w:ascii="Times New Roman" w:hAnsi="Times New Roman" w:cs="Times New Roman"/>
        </w:rPr>
        <w:t>. Posłuży on</w:t>
      </w:r>
      <w:r>
        <w:rPr>
          <w:rFonts w:ascii="Times New Roman" w:hAnsi="Times New Roman" w:cs="Times New Roman"/>
        </w:rPr>
        <w:t xml:space="preserve"> jako bodziec kluczowy. Szacunkowy czas przygotowań: </w:t>
      </w:r>
      <w:r>
        <w:rPr>
          <w:rFonts w:ascii="Times New Roman" w:hAnsi="Times New Roman" w:cs="Times New Roman"/>
          <w:b/>
          <w:bCs/>
        </w:rPr>
        <w:t>45-60 minut</w:t>
      </w:r>
    </w:p>
    <w:p w14:paraId="7271381C" w14:textId="77777777" w:rsidR="00187CD1" w:rsidRDefault="00187CD1" w:rsidP="00DC0DB8">
      <w:pPr>
        <w:spacing w:line="360" w:lineRule="auto"/>
        <w:ind w:firstLine="709"/>
        <w:contextualSpacing/>
        <w:rPr>
          <w:rFonts w:ascii="Times New Roman" w:hAnsi="Times New Roman" w:cs="Times New Roman"/>
        </w:rPr>
      </w:pPr>
      <w:r>
        <w:rPr>
          <w:rFonts w:ascii="Times New Roman" w:hAnsi="Times New Roman" w:cs="Times New Roman"/>
        </w:rPr>
        <w:t xml:space="preserve">W celu minimalizacji sztuczności warunków laboratoryjnych wykorzystywany jest własny telefon badanego z jego indywidualnym dźwiękiem powiadomienia, nagranym przed sesją. Podczas badania telefon pracuje w trybie samolotowym, eliminując zewnętrzne zakłócenia sieciowe. Dźwięk bodźca kluczowego wyzwalany jest zdalnie przez Bluetooth; ze względu na zmienność czasową transmisji Bluetooth (jitter rzędu kilkunastu ms), precyzyjna synchronizacja z zapisem EEG zapewniona jest przez USB Trigger Box, który wysyła znacznik czasowy z dokładnością poniżej 1 ms. </w:t>
      </w:r>
    </w:p>
    <w:p w14:paraId="53449C19" w14:textId="77777777" w:rsidR="00187CD1" w:rsidRPr="00DC0DB8" w:rsidRDefault="00187CD1" w:rsidP="00187CD1">
      <w:pPr>
        <w:spacing w:line="360" w:lineRule="auto"/>
        <w:ind w:firstLine="709"/>
        <w:contextualSpacing/>
        <w:rPr>
          <w:rFonts w:ascii="Times New Roman" w:hAnsi="Times New Roman" w:cs="Times New Roman"/>
        </w:rPr>
      </w:pPr>
      <w:r>
        <w:rPr>
          <w:rFonts w:ascii="Times New Roman" w:hAnsi="Times New Roman" w:cs="Times New Roman"/>
        </w:rPr>
        <w:t>Przebieg badania</w:t>
      </w:r>
    </w:p>
    <w:p w14:paraId="588AFDC0" w14:textId="547BAC7B" w:rsidR="0000036C" w:rsidRDefault="00DC0DB8" w:rsidP="00DC0DB8">
      <w:pPr>
        <w:spacing w:line="360" w:lineRule="auto"/>
        <w:ind w:firstLine="709"/>
        <w:contextualSpacing/>
        <w:rPr>
          <w:rFonts w:ascii="Times New Roman" w:hAnsi="Times New Roman" w:cs="Times New Roman"/>
        </w:rPr>
      </w:pPr>
      <w:r>
        <w:rPr>
          <w:rFonts w:ascii="Times New Roman" w:hAnsi="Times New Roman" w:cs="Times New Roman"/>
        </w:rPr>
        <w:t>Uczestnik wykonuje zadanie ciągłego wykonania (CPT)</w:t>
      </w:r>
      <w:r w:rsidR="00AC28B6">
        <w:rPr>
          <w:rFonts w:ascii="Times New Roman" w:hAnsi="Times New Roman" w:cs="Times New Roman"/>
        </w:rPr>
        <w:t>,</w:t>
      </w:r>
      <w:r>
        <w:rPr>
          <w:rFonts w:ascii="Times New Roman" w:hAnsi="Times New Roman" w:cs="Times New Roman"/>
        </w:rPr>
        <w:t xml:space="preserve"> reaguje na literę „X" pojawiającą się na ekranie, co angażuje uwagę i uniemożliwia swobodne myślenie o telefonie. W tle emitowany jest losowo jeden z trzech bodźców dźwiękowych: kluczowy (uzgodniony dźwięk powiadomienia uczestnika), neutralny (ton systemowy) lub kontrolny (dźwięk natury). Przez cały czas trwania sesji uczestnik ma zakaz dotykania smartfona. Rejestracja danych EEG trwa </w:t>
      </w:r>
      <w:r>
        <w:rPr>
          <w:rFonts w:ascii="Times New Roman" w:hAnsi="Times New Roman" w:cs="Times New Roman"/>
          <w:b/>
          <w:bCs/>
        </w:rPr>
        <w:t>20 minut</w:t>
      </w:r>
      <w:r>
        <w:rPr>
          <w:rFonts w:ascii="Times New Roman" w:hAnsi="Times New Roman" w:cs="Times New Roman"/>
        </w:rPr>
        <w:t>.</w:t>
      </w:r>
      <w:r>
        <w:rPr>
          <w:rStyle w:val="Odwoanieprzypisukocowego"/>
          <w:rFonts w:ascii="Times New Roman" w:hAnsi="Times New Roman" w:cs="Times New Roman"/>
        </w:rPr>
        <w:endnoteReference w:id="2"/>
      </w:r>
    </w:p>
    <w:p w14:paraId="5AA07CF7" w14:textId="77777777" w:rsidR="00DC0DB8" w:rsidRPr="00D54759" w:rsidRDefault="00DC0DB8" w:rsidP="00DC0DB8">
      <w:pPr>
        <w:spacing w:line="360" w:lineRule="auto"/>
        <w:ind w:firstLine="709"/>
        <w:contextualSpacing/>
        <w:rPr>
          <w:rFonts w:ascii="Times New Roman" w:hAnsi="Times New Roman" w:cs="Times New Roman"/>
          <w:b/>
          <w:bCs/>
        </w:rPr>
      </w:pPr>
    </w:p>
    <w:p w14:paraId="1E77D10B" w14:textId="763618DD" w:rsidR="00E96025" w:rsidRPr="00D54759" w:rsidRDefault="007A41D7" w:rsidP="00B072A7">
      <w:pPr>
        <w:spacing w:line="360" w:lineRule="auto"/>
        <w:ind w:firstLine="709"/>
        <w:contextualSpacing/>
        <w:rPr>
          <w:rFonts w:ascii="Times New Roman" w:hAnsi="Times New Roman" w:cs="Times New Roman"/>
          <w:b/>
          <w:bCs/>
        </w:rPr>
      </w:pPr>
      <w:r>
        <w:rPr>
          <w:rFonts w:ascii="Times New Roman" w:hAnsi="Times New Roman" w:cs="Times New Roman"/>
          <w:b/>
          <w:bCs/>
        </w:rPr>
        <w:t>OCZEKIWANE WYNIKI I ANALIZA DANYCH</w:t>
      </w:r>
    </w:p>
    <w:p w14:paraId="41D5A398" w14:textId="4A3015AE" w:rsidR="00E96025" w:rsidRDefault="00E96025" w:rsidP="00B072A7">
      <w:pPr>
        <w:tabs>
          <w:tab w:val="num" w:pos="720"/>
        </w:tabs>
        <w:spacing w:line="360" w:lineRule="auto"/>
        <w:ind w:firstLine="709"/>
        <w:contextualSpacing/>
        <w:rPr>
          <w:rFonts w:ascii="Times New Roman" w:hAnsi="Times New Roman" w:cs="Times New Roman"/>
        </w:rPr>
      </w:pPr>
      <w:r>
        <w:rPr>
          <w:rFonts w:ascii="Times New Roman" w:hAnsi="Times New Roman" w:cs="Times New Roman"/>
        </w:rPr>
        <w:t>Sygnał EEG zostanie oczyszczony z artefaktów ruchowych (m.in. mruganie oczu, napięcie mięśniowe). Analizie podda się dwa wskaźniki: Potencjały Wywołane (ERP)</w:t>
      </w:r>
      <w:r>
        <w:rPr>
          <w:rFonts w:ascii="Times New Roman" w:hAnsi="Times New Roman" w:cs="Times New Roman"/>
          <w:b/>
          <w:bCs/>
        </w:rPr>
        <w:t>:</w:t>
      </w:r>
      <w:r>
        <w:rPr>
          <w:rFonts w:ascii="Times New Roman" w:hAnsi="Times New Roman" w:cs="Times New Roman"/>
        </w:rPr>
        <w:t xml:space="preserve"> Analiza amplitudy fali P300 w okolicach ciemieniowo-centralnych (elektrody Pz, Cz) w oknie czasowym 300–500 ms po emisji dźwięku. Oczekiwana wyższa amplituda dla dźwięku u osób z wysokim FOMO (silna odpowiedź orientacyjna na dystraktor). Analiza Częstotliwościowa (FT): Obliczenie gęstości widmowej mocy (PSD) dla pasma alfa (8–12 Hz) na elektrodach czołowych (F3 i F4) na podstawie współczynnika Asymetria = ln(Moc F4) - ln(Moc F3) powinno dać niższą moc alfa po lewej stronie (F3). Oznacza to wyższą </w:t>
      </w:r>
      <w:r>
        <w:rPr>
          <w:rFonts w:ascii="Times New Roman" w:hAnsi="Times New Roman" w:cs="Times New Roman"/>
        </w:rPr>
        <w:lastRenderedPageBreak/>
        <w:t>aktywację tej półkuli, co zinterpretuje się jako stan gotowości do działania / frustracji wywołanej brakiem możliwości sprawdzenia telefonu.</w:t>
      </w:r>
    </w:p>
    <w:p w14:paraId="1A32FE80" w14:textId="759D0070" w:rsidR="00063E86" w:rsidRDefault="00DC0DB8" w:rsidP="00DC0DB8">
      <w:pPr>
        <w:tabs>
          <w:tab w:val="num" w:pos="720"/>
          <w:tab w:val="left" w:pos="3636"/>
        </w:tabs>
        <w:spacing w:line="360" w:lineRule="auto"/>
        <w:ind w:firstLine="709"/>
        <w:contextualSpacing/>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65CD82BC" w14:textId="77777777" w:rsidR="00187CD1" w:rsidRDefault="00187CD1" w:rsidP="00DC0DB8">
      <w:pPr>
        <w:tabs>
          <w:tab w:val="num" w:pos="720"/>
        </w:tabs>
        <w:spacing w:line="360" w:lineRule="auto"/>
        <w:ind w:firstLine="709"/>
        <w:contextualSpacing/>
        <w:rPr>
          <w:rFonts w:ascii="Times New Roman" w:hAnsi="Times New Roman" w:cs="Times New Roman"/>
          <w:b/>
          <w:bCs/>
        </w:rPr>
      </w:pPr>
    </w:p>
    <w:p w14:paraId="1F85E0B7" w14:textId="7FF8ECEC" w:rsidR="00DC0DB8" w:rsidRPr="00063E86" w:rsidRDefault="002C1A64" w:rsidP="00DC0DB8">
      <w:pPr>
        <w:tabs>
          <w:tab w:val="num" w:pos="720"/>
        </w:tabs>
        <w:spacing w:line="360" w:lineRule="auto"/>
        <w:ind w:firstLine="709"/>
        <w:contextualSpacing/>
        <w:rPr>
          <w:rFonts w:ascii="Times New Roman" w:hAnsi="Times New Roman" w:cs="Times New Roman"/>
          <w:b/>
          <w:bCs/>
        </w:rPr>
      </w:pPr>
      <w:r>
        <w:rPr>
          <w:rFonts w:ascii="Times New Roman" w:hAnsi="Times New Roman" w:cs="Times New Roman"/>
          <w:b/>
          <w:bCs/>
        </w:rPr>
        <w:t>Budżet</w:t>
      </w:r>
    </w:p>
    <w:p w14:paraId="0C4EDB35" w14:textId="4536DBAB" w:rsidR="00DC0DB8" w:rsidRPr="00DC0DB8" w:rsidRDefault="00DC0DB8" w:rsidP="00992EC9">
      <w:pPr>
        <w:tabs>
          <w:tab w:val="num" w:pos="720"/>
        </w:tabs>
        <w:spacing w:line="360" w:lineRule="auto"/>
        <w:contextualSpacing/>
        <w:rPr>
          <w:rFonts w:ascii="Times New Roman" w:hAnsi="Times New Roman" w:cs="Times New Roman"/>
        </w:rPr>
      </w:pPr>
    </w:p>
    <w:tbl>
      <w:tblPr>
        <w:tblW w:w="6658" w:type="dxa"/>
        <w:tblCellMar>
          <w:left w:w="70" w:type="dxa"/>
          <w:right w:w="70" w:type="dxa"/>
        </w:tblCellMar>
        <w:tblLook w:val="04A0" w:firstRow="1" w:lastRow="0" w:firstColumn="1" w:lastColumn="0" w:noHBand="0" w:noVBand="1"/>
      </w:tblPr>
      <w:tblGrid>
        <w:gridCol w:w="2547"/>
        <w:gridCol w:w="2551"/>
        <w:gridCol w:w="1560"/>
      </w:tblGrid>
      <w:tr w:rsidR="00992EC9" w:rsidRPr="00992EC9" w14:paraId="2E02B278" w14:textId="77777777" w:rsidTr="00992EC9">
        <w:trPr>
          <w:trHeight w:val="440"/>
        </w:trPr>
        <w:tc>
          <w:tcPr>
            <w:tcW w:w="2547" w:type="dxa"/>
            <w:tcBorders>
              <w:top w:val="single" w:sz="4" w:space="0" w:color="auto"/>
              <w:left w:val="single" w:sz="4" w:space="0" w:color="auto"/>
              <w:bottom w:val="single" w:sz="4" w:space="0" w:color="auto"/>
              <w:right w:val="single" w:sz="4" w:space="0" w:color="auto"/>
            </w:tcBorders>
            <w:vAlign w:val="center"/>
            <w:hideMark/>
          </w:tcPr>
          <w:p w14:paraId="3A000319" w14:textId="77777777" w:rsidR="00992EC9" w:rsidRPr="00992EC9" w:rsidRDefault="00992EC9" w:rsidP="00992EC9">
            <w:pPr>
              <w:spacing w:after="0" w:line="240" w:lineRule="auto"/>
              <w:rPr>
                <w:rFonts w:ascii="Arial" w:eastAsia="Times New Roman" w:hAnsi="Arial" w:cs="Arial"/>
                <w:b/>
                <w:bCs/>
                <w:kern w:val="0"/>
                <w:sz w:val="22"/>
                <w:szCs w:val="22"/>
                <w:lang w:eastAsia="pl-PL"/>
                <w14:ligatures w14:val="none"/>
              </w:rPr>
            </w:pPr>
            <w:r>
              <w:rPr>
                <w:rFonts w:ascii="Arial" w:eastAsia="Times New Roman" w:hAnsi="Arial" w:cs="Arial"/>
                <w:b/>
                <w:bCs/>
                <w:kern w:val="0"/>
                <w:sz w:val="22"/>
                <w:szCs w:val="22"/>
                <w:lang w:eastAsia="pl-PL"/>
                <w14:ligatures w14:val="none"/>
              </w:rPr>
              <w:t>Pozycja</w:t>
            </w:r>
          </w:p>
        </w:tc>
        <w:tc>
          <w:tcPr>
            <w:tcW w:w="2551" w:type="dxa"/>
            <w:tcBorders>
              <w:top w:val="single" w:sz="4" w:space="0" w:color="auto"/>
              <w:left w:val="nil"/>
              <w:bottom w:val="single" w:sz="4" w:space="0" w:color="auto"/>
              <w:right w:val="single" w:sz="4" w:space="0" w:color="auto"/>
            </w:tcBorders>
            <w:vAlign w:val="center"/>
            <w:hideMark/>
          </w:tcPr>
          <w:p w14:paraId="2D83B325" w14:textId="77777777" w:rsidR="00992EC9" w:rsidRPr="00992EC9" w:rsidRDefault="00992EC9" w:rsidP="00992EC9">
            <w:pPr>
              <w:spacing w:after="0" w:line="240" w:lineRule="auto"/>
              <w:rPr>
                <w:rFonts w:ascii="Arial" w:eastAsia="Times New Roman" w:hAnsi="Arial" w:cs="Arial"/>
                <w:b/>
                <w:bCs/>
                <w:kern w:val="0"/>
                <w:sz w:val="22"/>
                <w:szCs w:val="22"/>
                <w:lang w:eastAsia="pl-PL"/>
                <w14:ligatures w14:val="none"/>
              </w:rPr>
            </w:pPr>
            <w:r>
              <w:rPr>
                <w:rFonts w:ascii="Arial" w:eastAsia="Times New Roman" w:hAnsi="Arial" w:cs="Arial"/>
                <w:b/>
                <w:bCs/>
                <w:kern w:val="0"/>
                <w:sz w:val="22"/>
                <w:szCs w:val="22"/>
                <w:lang w:eastAsia="pl-PL"/>
                <w14:ligatures w14:val="none"/>
              </w:rPr>
              <w:t>Opcja dostępu</w:t>
            </w:r>
          </w:p>
        </w:tc>
        <w:tc>
          <w:tcPr>
            <w:tcW w:w="1560" w:type="dxa"/>
            <w:tcBorders>
              <w:top w:val="single" w:sz="4" w:space="0" w:color="auto"/>
              <w:left w:val="nil"/>
              <w:bottom w:val="single" w:sz="4" w:space="0" w:color="auto"/>
              <w:right w:val="single" w:sz="4" w:space="0" w:color="auto"/>
            </w:tcBorders>
            <w:vAlign w:val="center"/>
            <w:hideMark/>
          </w:tcPr>
          <w:p w14:paraId="307C5CD9" w14:textId="77777777" w:rsidR="00992EC9" w:rsidRPr="00992EC9" w:rsidRDefault="00992EC9" w:rsidP="00992EC9">
            <w:pPr>
              <w:spacing w:after="0" w:line="240" w:lineRule="auto"/>
              <w:rPr>
                <w:rFonts w:ascii="Arial" w:eastAsia="Times New Roman" w:hAnsi="Arial" w:cs="Arial"/>
                <w:b/>
                <w:bCs/>
                <w:kern w:val="0"/>
                <w:sz w:val="22"/>
                <w:szCs w:val="22"/>
                <w:lang w:eastAsia="pl-PL"/>
                <w14:ligatures w14:val="none"/>
              </w:rPr>
            </w:pPr>
            <w:r>
              <w:rPr>
                <w:rFonts w:ascii="Arial" w:eastAsia="Times New Roman" w:hAnsi="Arial" w:cs="Arial"/>
                <w:b/>
                <w:bCs/>
                <w:kern w:val="0"/>
                <w:sz w:val="22"/>
                <w:szCs w:val="22"/>
                <w:lang w:eastAsia="pl-PL"/>
                <w14:ligatures w14:val="none"/>
              </w:rPr>
              <w:t>Koszt łączny</w:t>
            </w:r>
          </w:p>
        </w:tc>
      </w:tr>
      <w:tr w:rsidR="00992EC9" w:rsidRPr="00992EC9" w14:paraId="3EB73D02"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388583EE"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System EEG 64ch + wzmacniacz + licencja</w:t>
            </w:r>
          </w:p>
        </w:tc>
        <w:tc>
          <w:tcPr>
            <w:tcW w:w="2551" w:type="dxa"/>
            <w:tcBorders>
              <w:top w:val="nil"/>
              <w:left w:val="nil"/>
              <w:bottom w:val="single" w:sz="4" w:space="0" w:color="auto"/>
              <w:right w:val="single" w:sz="4" w:space="0" w:color="auto"/>
            </w:tcBorders>
            <w:vAlign w:val="center"/>
            <w:hideMark/>
          </w:tcPr>
          <w:p w14:paraId="75230F3C"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Laboratorium SWPS Warszawa — dostęp w ramach współpracy</w:t>
            </w:r>
          </w:p>
        </w:tc>
        <w:tc>
          <w:tcPr>
            <w:tcW w:w="1560" w:type="dxa"/>
            <w:tcBorders>
              <w:top w:val="nil"/>
              <w:left w:val="nil"/>
              <w:bottom w:val="single" w:sz="4" w:space="0" w:color="auto"/>
              <w:right w:val="single" w:sz="4" w:space="0" w:color="auto"/>
            </w:tcBorders>
            <w:vAlign w:val="center"/>
            <w:hideMark/>
          </w:tcPr>
          <w:p w14:paraId="5D0C5F77"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0 zł</w:t>
            </w:r>
          </w:p>
        </w:tc>
      </w:tr>
      <w:tr w:rsidR="00992EC9" w:rsidRPr="00992EC9" w14:paraId="4C04416A"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16AC5B55"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USB Trigger Box</w:t>
            </w:r>
          </w:p>
        </w:tc>
        <w:tc>
          <w:tcPr>
            <w:tcW w:w="2551" w:type="dxa"/>
            <w:tcBorders>
              <w:top w:val="nil"/>
              <w:left w:val="nil"/>
              <w:bottom w:val="single" w:sz="4" w:space="0" w:color="auto"/>
              <w:right w:val="single" w:sz="4" w:space="0" w:color="auto"/>
            </w:tcBorders>
            <w:vAlign w:val="center"/>
            <w:hideMark/>
          </w:tcPr>
          <w:p w14:paraId="6D388B0B"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Zasób laboratorium</w:t>
            </w:r>
          </w:p>
        </w:tc>
        <w:tc>
          <w:tcPr>
            <w:tcW w:w="1560" w:type="dxa"/>
            <w:tcBorders>
              <w:top w:val="nil"/>
              <w:left w:val="nil"/>
              <w:bottom w:val="single" w:sz="4" w:space="0" w:color="auto"/>
              <w:right w:val="single" w:sz="4" w:space="0" w:color="auto"/>
            </w:tcBorders>
            <w:vAlign w:val="center"/>
            <w:hideMark/>
          </w:tcPr>
          <w:p w14:paraId="2D3B038F"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0 zł</w:t>
            </w:r>
          </w:p>
        </w:tc>
      </w:tr>
      <w:tr w:rsidR="00992EC9" w:rsidRPr="00992EC9" w14:paraId="79FF2EF6"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5A4E6FC0"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OpenSesame</w:t>
            </w:r>
          </w:p>
        </w:tc>
        <w:tc>
          <w:tcPr>
            <w:tcW w:w="2551" w:type="dxa"/>
            <w:tcBorders>
              <w:top w:val="nil"/>
              <w:left w:val="nil"/>
              <w:bottom w:val="single" w:sz="4" w:space="0" w:color="auto"/>
              <w:right w:val="single" w:sz="4" w:space="0" w:color="auto"/>
            </w:tcBorders>
            <w:vAlign w:val="center"/>
            <w:hideMark/>
          </w:tcPr>
          <w:p w14:paraId="0E21F657"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Open source</w:t>
            </w:r>
          </w:p>
        </w:tc>
        <w:tc>
          <w:tcPr>
            <w:tcW w:w="1560" w:type="dxa"/>
            <w:tcBorders>
              <w:top w:val="nil"/>
              <w:left w:val="nil"/>
              <w:bottom w:val="single" w:sz="4" w:space="0" w:color="auto"/>
              <w:right w:val="single" w:sz="4" w:space="0" w:color="auto"/>
            </w:tcBorders>
            <w:vAlign w:val="center"/>
            <w:hideMark/>
          </w:tcPr>
          <w:p w14:paraId="47F41610"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0 zł</w:t>
            </w:r>
          </w:p>
        </w:tc>
      </w:tr>
      <w:tr w:rsidR="00992EC9" w:rsidRPr="00992EC9" w14:paraId="7AAE0262"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26BE135B"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Żel przewodzący ECI Electro-Gel 473 ml (3 słoiki)</w:t>
            </w:r>
          </w:p>
        </w:tc>
        <w:tc>
          <w:tcPr>
            <w:tcW w:w="2551" w:type="dxa"/>
            <w:tcBorders>
              <w:top w:val="nil"/>
              <w:left w:val="nil"/>
              <w:bottom w:val="single" w:sz="4" w:space="0" w:color="auto"/>
              <w:right w:val="single" w:sz="4" w:space="0" w:color="auto"/>
            </w:tcBorders>
            <w:vAlign w:val="center"/>
            <w:hideMark/>
          </w:tcPr>
          <w:p w14:paraId="64F94E04" w14:textId="06CA0E1B" w:rsidR="00992EC9" w:rsidRPr="00AC28B6" w:rsidRDefault="00992EC9" w:rsidP="00992EC9">
            <w:pPr>
              <w:spacing w:after="0" w:line="240" w:lineRule="auto"/>
              <w:rPr>
                <w:rFonts w:ascii="Arial" w:eastAsia="Times New Roman" w:hAnsi="Arial" w:cs="Arial"/>
                <w:kern w:val="0"/>
                <w:sz w:val="20"/>
                <w:szCs w:val="20"/>
                <w:lang w:eastAsia="pl-PL"/>
                <w14:ligatures w14:val="none"/>
              </w:rPr>
            </w:pPr>
            <w:r w:rsidRPr="00AC28B6">
              <w:rPr>
                <w:rFonts w:ascii="Arial" w:eastAsia="Times New Roman" w:hAnsi="Arial" w:cs="Arial"/>
                <w:kern w:val="0"/>
                <w:sz w:val="20"/>
                <w:szCs w:val="20"/>
                <w:lang w:eastAsia="pl-PL"/>
                <w14:ligatures w14:val="none"/>
              </w:rPr>
              <w:t>Zakup (e-majer.pl / elmiko.pl)</w:t>
            </w:r>
          </w:p>
        </w:tc>
        <w:tc>
          <w:tcPr>
            <w:tcW w:w="1560" w:type="dxa"/>
            <w:tcBorders>
              <w:top w:val="nil"/>
              <w:left w:val="nil"/>
              <w:bottom w:val="single" w:sz="4" w:space="0" w:color="auto"/>
              <w:right w:val="single" w:sz="4" w:space="0" w:color="auto"/>
            </w:tcBorders>
            <w:vAlign w:val="center"/>
            <w:hideMark/>
          </w:tcPr>
          <w:p w14:paraId="4B32E5FD" w14:textId="4B4E316A"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300 zł</w:t>
            </w:r>
          </w:p>
        </w:tc>
      </w:tr>
      <w:tr w:rsidR="00992EC9" w:rsidRPr="00992EC9" w14:paraId="742B8811"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009E63E4"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NuPrep (preparat przygotowujący skórę)</w:t>
            </w:r>
          </w:p>
        </w:tc>
        <w:tc>
          <w:tcPr>
            <w:tcW w:w="2551" w:type="dxa"/>
            <w:tcBorders>
              <w:top w:val="nil"/>
              <w:left w:val="nil"/>
              <w:bottom w:val="single" w:sz="4" w:space="0" w:color="auto"/>
              <w:right w:val="single" w:sz="4" w:space="0" w:color="auto"/>
            </w:tcBorders>
            <w:vAlign w:val="center"/>
            <w:hideMark/>
          </w:tcPr>
          <w:p w14:paraId="576ABFB9" w14:textId="00909CF6"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Zakup (e-majer.pl / elmiko.pl)</w:t>
            </w:r>
          </w:p>
        </w:tc>
        <w:tc>
          <w:tcPr>
            <w:tcW w:w="1560" w:type="dxa"/>
            <w:tcBorders>
              <w:top w:val="nil"/>
              <w:left w:val="nil"/>
              <w:bottom w:val="single" w:sz="4" w:space="0" w:color="auto"/>
              <w:right w:val="single" w:sz="4" w:space="0" w:color="auto"/>
            </w:tcBorders>
            <w:vAlign w:val="center"/>
            <w:hideMark/>
          </w:tcPr>
          <w:p w14:paraId="354A0841" w14:textId="0B2BA454"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100 zł</w:t>
            </w:r>
          </w:p>
        </w:tc>
      </w:tr>
      <w:tr w:rsidR="00992EC9" w:rsidRPr="00992EC9" w14:paraId="692631B9"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450FE7F1" w14:textId="4516AE18"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 xml:space="preserve">Wynagrodzenie uczestników </w:t>
            </w:r>
          </w:p>
        </w:tc>
        <w:tc>
          <w:tcPr>
            <w:tcW w:w="2551" w:type="dxa"/>
            <w:tcBorders>
              <w:top w:val="nil"/>
              <w:left w:val="nil"/>
              <w:bottom w:val="single" w:sz="4" w:space="0" w:color="auto"/>
              <w:right w:val="single" w:sz="4" w:space="0" w:color="auto"/>
            </w:tcBorders>
            <w:vAlign w:val="center"/>
            <w:hideMark/>
          </w:tcPr>
          <w:p w14:paraId="0E41D475"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50 zł × 40 osób</w:t>
            </w:r>
          </w:p>
        </w:tc>
        <w:tc>
          <w:tcPr>
            <w:tcW w:w="1560" w:type="dxa"/>
            <w:tcBorders>
              <w:top w:val="nil"/>
              <w:left w:val="nil"/>
              <w:bottom w:val="single" w:sz="4" w:space="0" w:color="auto"/>
              <w:right w:val="single" w:sz="4" w:space="0" w:color="auto"/>
            </w:tcBorders>
            <w:vAlign w:val="center"/>
            <w:hideMark/>
          </w:tcPr>
          <w:p w14:paraId="0E80400F"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2 000 zł</w:t>
            </w:r>
          </w:p>
        </w:tc>
      </w:tr>
      <w:tr w:rsidR="00992EC9" w:rsidRPr="00992EC9" w14:paraId="7916A726"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794E81D6" w14:textId="57DA1BAB"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 xml:space="preserve">Sesje niewypały </w:t>
            </w:r>
          </w:p>
        </w:tc>
        <w:tc>
          <w:tcPr>
            <w:tcW w:w="2551" w:type="dxa"/>
            <w:tcBorders>
              <w:top w:val="nil"/>
              <w:left w:val="nil"/>
              <w:bottom w:val="single" w:sz="4" w:space="0" w:color="auto"/>
              <w:right w:val="single" w:sz="4" w:space="0" w:color="auto"/>
            </w:tcBorders>
            <w:vAlign w:val="center"/>
            <w:hideMark/>
          </w:tcPr>
          <w:p w14:paraId="53D7E3B4"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50 zł × 5 sesji</w:t>
            </w:r>
          </w:p>
        </w:tc>
        <w:tc>
          <w:tcPr>
            <w:tcW w:w="1560" w:type="dxa"/>
            <w:tcBorders>
              <w:top w:val="nil"/>
              <w:left w:val="nil"/>
              <w:bottom w:val="single" w:sz="4" w:space="0" w:color="auto"/>
              <w:right w:val="single" w:sz="4" w:space="0" w:color="auto"/>
            </w:tcBorders>
            <w:vAlign w:val="center"/>
            <w:hideMark/>
          </w:tcPr>
          <w:p w14:paraId="1C475F10"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250 zł</w:t>
            </w:r>
          </w:p>
        </w:tc>
      </w:tr>
      <w:tr w:rsidR="00992EC9" w:rsidRPr="00992EC9" w14:paraId="624EF360"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751761CD"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Rezerwa na nieprzewidziane koszty</w:t>
            </w:r>
          </w:p>
        </w:tc>
        <w:tc>
          <w:tcPr>
            <w:tcW w:w="2551" w:type="dxa"/>
            <w:tcBorders>
              <w:top w:val="nil"/>
              <w:left w:val="nil"/>
              <w:bottom w:val="single" w:sz="4" w:space="0" w:color="auto"/>
              <w:right w:val="single" w:sz="4" w:space="0" w:color="auto"/>
            </w:tcBorders>
            <w:vAlign w:val="center"/>
            <w:hideMark/>
          </w:tcPr>
          <w:p w14:paraId="1D0FDF33"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w:t>
            </w:r>
          </w:p>
        </w:tc>
        <w:tc>
          <w:tcPr>
            <w:tcW w:w="1560" w:type="dxa"/>
            <w:tcBorders>
              <w:top w:val="nil"/>
              <w:left w:val="nil"/>
              <w:bottom w:val="single" w:sz="4" w:space="0" w:color="auto"/>
              <w:right w:val="single" w:sz="4" w:space="0" w:color="auto"/>
            </w:tcBorders>
            <w:vAlign w:val="center"/>
            <w:hideMark/>
          </w:tcPr>
          <w:p w14:paraId="04F26665" w14:textId="77777777" w:rsidR="00992EC9" w:rsidRPr="00992EC9" w:rsidRDefault="00992EC9" w:rsidP="00992EC9">
            <w:pPr>
              <w:spacing w:after="0" w:line="240" w:lineRule="auto"/>
              <w:rPr>
                <w:rFonts w:ascii="Arial" w:eastAsia="Times New Roman" w:hAnsi="Arial" w:cs="Arial"/>
                <w:kern w:val="0"/>
                <w:sz w:val="20"/>
                <w:szCs w:val="20"/>
                <w:lang w:eastAsia="pl-PL"/>
                <w14:ligatures w14:val="none"/>
              </w:rPr>
            </w:pPr>
            <w:r>
              <w:rPr>
                <w:rFonts w:ascii="Arial" w:eastAsia="Times New Roman" w:hAnsi="Arial" w:cs="Arial"/>
                <w:kern w:val="0"/>
                <w:sz w:val="20"/>
                <w:szCs w:val="20"/>
                <w:lang w:eastAsia="pl-PL"/>
                <w14:ligatures w14:val="none"/>
              </w:rPr>
              <w:t>500 zł</w:t>
            </w:r>
          </w:p>
        </w:tc>
      </w:tr>
      <w:tr w:rsidR="00992EC9" w:rsidRPr="00992EC9" w14:paraId="04F4AAB7" w14:textId="77777777" w:rsidTr="00992EC9">
        <w:trPr>
          <w:trHeight w:val="440"/>
        </w:trPr>
        <w:tc>
          <w:tcPr>
            <w:tcW w:w="2547" w:type="dxa"/>
            <w:tcBorders>
              <w:top w:val="nil"/>
              <w:left w:val="single" w:sz="4" w:space="0" w:color="auto"/>
              <w:bottom w:val="single" w:sz="4" w:space="0" w:color="auto"/>
              <w:right w:val="single" w:sz="4" w:space="0" w:color="auto"/>
            </w:tcBorders>
            <w:vAlign w:val="center"/>
            <w:hideMark/>
          </w:tcPr>
          <w:p w14:paraId="09DB9D0B" w14:textId="77777777" w:rsidR="00992EC9" w:rsidRPr="00992EC9" w:rsidRDefault="00992EC9" w:rsidP="00992EC9">
            <w:pPr>
              <w:spacing w:after="0" w:line="240" w:lineRule="auto"/>
              <w:rPr>
                <w:rFonts w:ascii="Arial" w:eastAsia="Times New Roman" w:hAnsi="Arial" w:cs="Arial"/>
                <w:b/>
                <w:bCs/>
                <w:kern w:val="0"/>
                <w:sz w:val="20"/>
                <w:szCs w:val="20"/>
                <w:lang w:eastAsia="pl-PL"/>
                <w14:ligatures w14:val="none"/>
              </w:rPr>
            </w:pPr>
            <w:r>
              <w:rPr>
                <w:rFonts w:ascii="Arial" w:eastAsia="Times New Roman" w:hAnsi="Arial" w:cs="Arial"/>
                <w:b/>
                <w:bCs/>
                <w:kern w:val="0"/>
                <w:sz w:val="20"/>
                <w:szCs w:val="20"/>
                <w:lang w:eastAsia="pl-PL"/>
                <w14:ligatures w14:val="none"/>
              </w:rPr>
              <w:t>ŁĄCZNIE</w:t>
            </w:r>
          </w:p>
        </w:tc>
        <w:tc>
          <w:tcPr>
            <w:tcW w:w="2551" w:type="dxa"/>
            <w:tcBorders>
              <w:top w:val="nil"/>
              <w:left w:val="nil"/>
              <w:bottom w:val="single" w:sz="4" w:space="0" w:color="auto"/>
              <w:right w:val="single" w:sz="4" w:space="0" w:color="auto"/>
            </w:tcBorders>
            <w:vAlign w:val="center"/>
            <w:hideMark/>
          </w:tcPr>
          <w:p w14:paraId="49246971" w14:textId="77777777" w:rsidR="00992EC9" w:rsidRPr="00992EC9" w:rsidRDefault="00992EC9" w:rsidP="00992EC9">
            <w:pPr>
              <w:spacing w:after="0" w:line="240" w:lineRule="auto"/>
              <w:rPr>
                <w:rFonts w:ascii="Arial" w:eastAsia="Times New Roman" w:hAnsi="Arial" w:cs="Arial"/>
                <w:b/>
                <w:bCs/>
                <w:kern w:val="0"/>
                <w:sz w:val="20"/>
                <w:szCs w:val="20"/>
                <w:lang w:eastAsia="pl-PL"/>
                <w14:ligatures w14:val="none"/>
              </w:rPr>
            </w:pPr>
            <w:r>
              <w:rPr>
                <w:rFonts w:ascii="Arial" w:eastAsia="Times New Roman" w:hAnsi="Arial" w:cs="Arial"/>
                <w:b/>
                <w:bCs/>
                <w:kern w:val="0"/>
                <w:sz w:val="20"/>
                <w:szCs w:val="20"/>
                <w:lang w:eastAsia="pl-PL"/>
                <w14:ligatures w14:val="none"/>
              </w:rPr>
              <w:t> </w:t>
            </w:r>
          </w:p>
        </w:tc>
        <w:tc>
          <w:tcPr>
            <w:tcW w:w="1560" w:type="dxa"/>
            <w:tcBorders>
              <w:top w:val="nil"/>
              <w:left w:val="nil"/>
              <w:bottom w:val="single" w:sz="4" w:space="0" w:color="auto"/>
              <w:right w:val="single" w:sz="4" w:space="0" w:color="auto"/>
            </w:tcBorders>
            <w:vAlign w:val="center"/>
            <w:hideMark/>
          </w:tcPr>
          <w:p w14:paraId="14EDE19B" w14:textId="0EEBFB4D" w:rsidR="00992EC9" w:rsidRPr="00992EC9" w:rsidRDefault="00992EC9" w:rsidP="00992EC9">
            <w:pPr>
              <w:spacing w:after="0" w:line="240" w:lineRule="auto"/>
              <w:rPr>
                <w:rFonts w:ascii="Arial" w:eastAsia="Times New Roman" w:hAnsi="Arial" w:cs="Arial"/>
                <w:b/>
                <w:bCs/>
                <w:kern w:val="0"/>
                <w:sz w:val="20"/>
                <w:szCs w:val="20"/>
                <w:lang w:eastAsia="pl-PL"/>
                <w14:ligatures w14:val="none"/>
              </w:rPr>
            </w:pPr>
            <w:r>
              <w:rPr>
                <w:rFonts w:ascii="Arial" w:eastAsia="Times New Roman" w:hAnsi="Arial" w:cs="Arial"/>
                <w:b/>
                <w:bCs/>
                <w:kern w:val="0"/>
                <w:sz w:val="20"/>
                <w:szCs w:val="20"/>
                <w:lang w:eastAsia="pl-PL"/>
                <w14:ligatures w14:val="none"/>
              </w:rPr>
              <w:t>3 150 zł</w:t>
            </w:r>
          </w:p>
        </w:tc>
      </w:tr>
    </w:tbl>
    <w:p w14:paraId="444768DE" w14:textId="77777777" w:rsidR="00DC0DB8" w:rsidRDefault="00DC0DB8" w:rsidP="00B072A7">
      <w:pPr>
        <w:tabs>
          <w:tab w:val="num" w:pos="720"/>
        </w:tabs>
        <w:spacing w:line="360" w:lineRule="auto"/>
        <w:ind w:firstLine="709"/>
        <w:contextualSpacing/>
        <w:rPr>
          <w:rFonts w:ascii="Times New Roman" w:hAnsi="Times New Roman" w:cs="Times New Roman"/>
        </w:rPr>
      </w:pPr>
    </w:p>
    <w:p w14:paraId="180001C9" w14:textId="06C86075" w:rsidR="002C1A64" w:rsidRPr="00187CD1" w:rsidRDefault="00187CD1" w:rsidP="002C1A64">
      <w:pPr>
        <w:tabs>
          <w:tab w:val="num" w:pos="720"/>
        </w:tabs>
        <w:spacing w:line="360" w:lineRule="auto"/>
        <w:ind w:firstLine="709"/>
        <w:contextualSpacing/>
        <w:rPr>
          <w:rFonts w:ascii="Times New Roman" w:hAnsi="Times New Roman" w:cs="Times New Roman"/>
          <w:b/>
          <w:bCs/>
        </w:rPr>
      </w:pPr>
      <w:r>
        <w:rPr>
          <w:rFonts w:ascii="Times New Roman" w:hAnsi="Times New Roman" w:cs="Times New Roman"/>
          <w:b/>
          <w:bCs/>
        </w:rPr>
        <w:t>Zespół badawczy</w:t>
      </w:r>
      <w:r w:rsidR="002C1A64">
        <w:rPr>
          <w:rFonts w:ascii="Times New Roman" w:hAnsi="Times New Roman" w:cs="Times New Roman"/>
          <w:b/>
          <w:bCs/>
        </w:rPr>
        <w:t xml:space="preserve"> – 5 osób</w:t>
      </w:r>
    </w:p>
    <w:p w14:paraId="08D7A62E" w14:textId="4F7326CD" w:rsidR="00187CD1" w:rsidRPr="00187CD1" w:rsidRDefault="00187CD1" w:rsidP="00187CD1">
      <w:pPr>
        <w:tabs>
          <w:tab w:val="num" w:pos="720"/>
        </w:tabs>
        <w:spacing w:line="360" w:lineRule="auto"/>
        <w:ind w:firstLine="709"/>
        <w:contextualSpacing/>
        <w:rPr>
          <w:rFonts w:ascii="Times New Roman" w:hAnsi="Times New Roman" w:cs="Times New Roman"/>
        </w:rPr>
      </w:pPr>
      <w:r>
        <w:rPr>
          <w:rFonts w:ascii="Times New Roman" w:hAnsi="Times New Roman" w:cs="Times New Roman"/>
        </w:rPr>
        <w:t>Projekt realizowany jest przez studenta kognitywistyki Uni</w:t>
      </w:r>
      <w:r w:rsidR="002C1A64">
        <w:rPr>
          <w:rFonts w:ascii="Times New Roman" w:hAnsi="Times New Roman" w:cs="Times New Roman"/>
        </w:rPr>
        <w:t>wersytetu UMK</w:t>
      </w:r>
      <w:r>
        <w:rPr>
          <w:rFonts w:ascii="Times New Roman" w:hAnsi="Times New Roman" w:cs="Times New Roman"/>
        </w:rPr>
        <w:t>, pełniącego rolę głównego badacza, posiadającego wiedzę z zakresu psychologii poznawczej i neuronauki, znajomość literatury dotyczącej zjawiska FOMO oraz umiejętność obsługi oprogramowania OpenSesame i podstaw rejestracji EEG. Nadzór merytoryczny sprawuje promotor</w:t>
      </w:r>
      <w:r w:rsidR="002C1A64">
        <w:rPr>
          <w:rFonts w:ascii="Times New Roman" w:hAnsi="Times New Roman" w:cs="Times New Roman"/>
        </w:rPr>
        <w:t xml:space="preserve"> –</w:t>
      </w:r>
      <w:r>
        <w:rPr>
          <w:rFonts w:ascii="Times New Roman" w:hAnsi="Times New Roman" w:cs="Times New Roman"/>
        </w:rPr>
        <w:t xml:space="preserve"> pracownik naukowo-dydaktyczny katedry psychologii lub kognitywistyki z udokumentowanym doświadczeniem w badaniach EEG/ERP oraz uprawnieniami do zatwierdzania protokołów etycznych. Wsparcie techniczne zapewnia doktorant z doświadczeniem w obsłudze wielokanałowych systemów EEG firmy Brain Products, znający procedury przygotowania uczestnika, nakładania żelu przewodzącego oraz weryfikacji impedancji elektrod</w:t>
      </w:r>
      <w:r w:rsidR="002C1A64">
        <w:rPr>
          <w:rFonts w:ascii="Times New Roman" w:hAnsi="Times New Roman" w:cs="Times New Roman"/>
        </w:rPr>
        <w:t xml:space="preserve"> oraz udostępniający Laboratorium</w:t>
      </w:r>
      <w:r>
        <w:rPr>
          <w:rFonts w:ascii="Times New Roman" w:hAnsi="Times New Roman" w:cs="Times New Roman"/>
        </w:rPr>
        <w:t xml:space="preserve">. Analizą danych zajmuje się osoba z kompetencjami w zakresie przetwarzania sygnału EEG przy użyciu środowisk MATLAB lub Python (EEGLAB/MNE-Python), obejmującymi usuwanie artefaktów, analizę składowych niezależnych (ICA) oraz uśrednianie komponentów ERP. W projekcie uczestniczy również </w:t>
      </w:r>
      <w:r>
        <w:rPr>
          <w:rFonts w:ascii="Times New Roman" w:hAnsi="Times New Roman" w:cs="Times New Roman"/>
        </w:rPr>
        <w:lastRenderedPageBreak/>
        <w:t>student odbywający staż naukowy, wspierający realizację badania na każdym jego etapie</w:t>
      </w:r>
      <w:r w:rsidR="002C1A64">
        <w:rPr>
          <w:rFonts w:ascii="Times New Roman" w:hAnsi="Times New Roman" w:cs="Times New Roman"/>
        </w:rPr>
        <w:t xml:space="preserve"> </w:t>
      </w:r>
      <w:r>
        <w:rPr>
          <w:rFonts w:ascii="Times New Roman" w:hAnsi="Times New Roman" w:cs="Times New Roman"/>
        </w:rPr>
        <w:t>od rekrutacji uczestników po asystę podczas sesji pomiarowych.</w:t>
      </w:r>
    </w:p>
    <w:p w14:paraId="46FDE0EB" w14:textId="0E146C14" w:rsidR="00063E86" w:rsidRPr="00D54759" w:rsidRDefault="00063E86" w:rsidP="00B072A7">
      <w:pPr>
        <w:tabs>
          <w:tab w:val="num" w:pos="720"/>
        </w:tabs>
        <w:spacing w:line="360" w:lineRule="auto"/>
        <w:ind w:firstLine="709"/>
        <w:contextualSpacing/>
        <w:rPr>
          <w:rFonts w:ascii="Times New Roman" w:hAnsi="Times New Roman" w:cs="Times New Roman"/>
        </w:rPr>
      </w:pPr>
      <w:r>
        <w:rPr>
          <w:rFonts w:ascii="Times New Roman" w:hAnsi="Times New Roman" w:cs="Times New Roman"/>
        </w:rPr>
        <w:br/>
      </w:r>
    </w:p>
    <w:p w14:paraId="350CD0F8" w14:textId="31F29902" w:rsidR="006914BA" w:rsidRPr="00933E68" w:rsidRDefault="002C1A64" w:rsidP="00B072A7">
      <w:pPr>
        <w:spacing w:line="360" w:lineRule="auto"/>
        <w:ind w:firstLine="709"/>
        <w:contextualSpacing/>
        <w:rPr>
          <w:rFonts w:ascii="Times New Roman" w:hAnsi="Times New Roman" w:cs="Times New Roman"/>
          <w:lang w:val="en-US"/>
        </w:rPr>
      </w:pPr>
      <w:r>
        <w:rPr>
          <w:rFonts w:ascii="Times New Roman" w:hAnsi="Times New Roman" w:cs="Times New Roman"/>
          <w:b/>
          <w:bCs/>
          <w:lang w:val="en-US"/>
        </w:rPr>
        <w:t>Bibliografia</w:t>
      </w:r>
    </w:p>
    <w:p w14:paraId="2ADE67C4" w14:textId="77777777" w:rsidR="00E771E1" w:rsidRPr="00933E68" w:rsidRDefault="00E771E1" w:rsidP="00B072A7">
      <w:pPr>
        <w:spacing w:line="360" w:lineRule="auto"/>
        <w:ind w:firstLine="709"/>
        <w:contextualSpacing/>
        <w:rPr>
          <w:rFonts w:ascii="Times New Roman" w:hAnsi="Times New Roman" w:cs="Times New Roman"/>
          <w:lang w:val="en-US"/>
        </w:rPr>
      </w:pPr>
    </w:p>
    <w:p w14:paraId="0C61BA96" w14:textId="77777777" w:rsidR="00264258" w:rsidRPr="00264258" w:rsidRDefault="00264258" w:rsidP="00264258">
      <w:pPr>
        <w:pStyle w:val="Bibliografia"/>
        <w:spacing w:line="360" w:lineRule="auto"/>
        <w:ind w:firstLine="709"/>
        <w:rPr>
          <w:rFonts w:ascii="Times New Roman" w:hAnsi="Times New Roman" w:cs="Times New Roman"/>
          <w:lang w:val="es-419"/>
        </w:rPr>
      </w:pPr>
      <w:r>
        <w:rPr>
          <w:rFonts w:ascii="Times New Roman" w:hAnsi="Times New Roman" w:cs="Times New Roman"/>
        </w:rPr>
        <w:fldChar w:fldCharType="begin"/>
      </w:r>
      <w:r>
        <w:rPr>
          <w:rFonts w:ascii="Times New Roman" w:hAnsi="Times New Roman" w:cs="Times New Roman"/>
        </w:rPr>
        <w:instrText xml:space="preserve"> ADDIN ZOTERO_BIBL {"uncited":[],"omitted":[],"custom":[]} CSL_BIBLIOGRAPHY </w:instrText>
      </w:r>
      <w:r>
        <w:rPr>
          <w:rFonts w:ascii="Times New Roman" w:hAnsi="Times New Roman" w:cs="Times New Roman"/>
        </w:rPr>
        <w:fldChar w:fldCharType="separate"/>
      </w:r>
      <w:r>
        <w:rPr>
          <w:rFonts w:ascii="Times New Roman" w:hAnsi="Times New Roman" w:cs="Times New Roman"/>
        </w:rPr>
        <w:t xml:space="preserve">Alfina, Hartini, S., &amp; Mardhiyah, D. (2023). </w:t>
      </w:r>
      <w:r>
        <w:rPr>
          <w:rFonts w:ascii="Times New Roman" w:hAnsi="Times New Roman" w:cs="Times New Roman"/>
          <w:lang w:val="es-419"/>
        </w:rPr>
        <w:t xml:space="preserve">FOMO related consumer behaviour in marketing context: A systematic literature review. </w:t>
      </w:r>
      <w:r>
        <w:rPr>
          <w:rFonts w:ascii="Times New Roman" w:hAnsi="Times New Roman" w:cs="Times New Roman"/>
          <w:i/>
          <w:iCs/>
          <w:lang w:val="es-419"/>
        </w:rPr>
        <w:t>Cogent Business &amp; Management</w:t>
      </w:r>
      <w:r>
        <w:rPr>
          <w:rFonts w:ascii="Times New Roman" w:hAnsi="Times New Roman" w:cs="Times New Roman"/>
          <w:lang w:val="es-419"/>
        </w:rPr>
        <w:t xml:space="preserve">, </w:t>
      </w:r>
      <w:r>
        <w:rPr>
          <w:rFonts w:ascii="Times New Roman" w:hAnsi="Times New Roman" w:cs="Times New Roman"/>
          <w:i/>
          <w:iCs/>
          <w:lang w:val="es-419"/>
        </w:rPr>
        <w:t>10</w:t>
      </w:r>
      <w:r>
        <w:rPr>
          <w:rFonts w:ascii="Times New Roman" w:hAnsi="Times New Roman" w:cs="Times New Roman"/>
          <w:lang w:val="es-419"/>
        </w:rPr>
        <w:t>(3), 2250033. https://doi.org/10.1080/23311975.2023.2250033</w:t>
      </w:r>
    </w:p>
    <w:p w14:paraId="1C3FC24B" w14:textId="77777777" w:rsidR="00264258" w:rsidRPr="00264258" w:rsidRDefault="00264258" w:rsidP="00264258">
      <w:pPr>
        <w:pStyle w:val="Bibliografia"/>
        <w:spacing w:line="360" w:lineRule="auto"/>
        <w:ind w:firstLine="709"/>
        <w:rPr>
          <w:rFonts w:ascii="Times New Roman" w:hAnsi="Times New Roman" w:cs="Times New Roman"/>
          <w:lang w:val="es-419"/>
        </w:rPr>
      </w:pPr>
      <w:r>
        <w:rPr>
          <w:rFonts w:ascii="Times New Roman" w:hAnsi="Times New Roman" w:cs="Times New Roman"/>
          <w:lang w:val="es-419"/>
        </w:rPr>
        <w:t xml:space="preserve">Bartosiak, A., Lee, J. E., &amp; Loibl, C. (2025). Fear of missing out, social media influencers, and the social, psychological and financial wellbeing of young consumers. </w:t>
      </w:r>
      <w:r>
        <w:rPr>
          <w:rFonts w:ascii="Times New Roman" w:hAnsi="Times New Roman" w:cs="Times New Roman"/>
          <w:i/>
          <w:iCs/>
          <w:lang w:val="es-419"/>
        </w:rPr>
        <w:t>PLOS ONE</w:t>
      </w:r>
      <w:r>
        <w:rPr>
          <w:rFonts w:ascii="Times New Roman" w:hAnsi="Times New Roman" w:cs="Times New Roman"/>
          <w:lang w:val="es-419"/>
        </w:rPr>
        <w:t xml:space="preserve">, </w:t>
      </w:r>
      <w:r>
        <w:rPr>
          <w:rFonts w:ascii="Times New Roman" w:hAnsi="Times New Roman" w:cs="Times New Roman"/>
          <w:i/>
          <w:iCs/>
          <w:lang w:val="es-419"/>
        </w:rPr>
        <w:t>20</w:t>
      </w:r>
      <w:r>
        <w:rPr>
          <w:rFonts w:ascii="Times New Roman" w:hAnsi="Times New Roman" w:cs="Times New Roman"/>
          <w:lang w:val="es-419"/>
        </w:rPr>
        <w:t>(4), e0319034. https://doi.org/10.1371/journal.pone.0319034</w:t>
      </w:r>
    </w:p>
    <w:p w14:paraId="550D7AC1" w14:textId="77777777" w:rsidR="00264258" w:rsidRPr="00264258" w:rsidRDefault="00264258" w:rsidP="00264258">
      <w:pPr>
        <w:pStyle w:val="Bibliografia"/>
        <w:spacing w:line="360" w:lineRule="auto"/>
        <w:ind w:firstLine="709"/>
        <w:rPr>
          <w:rFonts w:ascii="Times New Roman" w:hAnsi="Times New Roman" w:cs="Times New Roman"/>
        </w:rPr>
      </w:pPr>
      <w:r>
        <w:rPr>
          <w:rFonts w:ascii="Times New Roman" w:hAnsi="Times New Roman" w:cs="Times New Roman"/>
          <w:lang w:val="es-419"/>
        </w:rPr>
        <w:t xml:space="preserve">Ellahi, A., Javed, Y., Begum, S., Mushtaq, R., Rehman, M., &amp; Rehman, H. M. (2021). Bedtime Smart Phone Usage and Its Effects on Work-Related Behaviour at Workplace. </w:t>
      </w:r>
      <w:r>
        <w:rPr>
          <w:rFonts w:ascii="Times New Roman" w:hAnsi="Times New Roman" w:cs="Times New Roman"/>
          <w:i/>
          <w:iCs/>
        </w:rPr>
        <w:t>Frontiers in Psychology</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 698413. https://doi.org/10.3389/fpsyg.2021.698413</w:t>
      </w:r>
    </w:p>
    <w:p w14:paraId="012B3135" w14:textId="77777777" w:rsidR="00264258" w:rsidRPr="00264258" w:rsidRDefault="00264258" w:rsidP="00264258">
      <w:pPr>
        <w:pStyle w:val="Bibliografia"/>
        <w:spacing w:line="360" w:lineRule="auto"/>
        <w:ind w:firstLine="709"/>
        <w:rPr>
          <w:rFonts w:ascii="Times New Roman" w:hAnsi="Times New Roman" w:cs="Times New Roman"/>
          <w:lang w:val="es-419"/>
        </w:rPr>
      </w:pPr>
      <w:r>
        <w:rPr>
          <w:rFonts w:ascii="Times New Roman" w:hAnsi="Times New Roman" w:cs="Times New Roman"/>
        </w:rPr>
        <w:t xml:space="preserve">Peleg, O., &amp; Boniel-Nissim, M. (2024). </w:t>
      </w:r>
      <w:r>
        <w:rPr>
          <w:rFonts w:ascii="Times New Roman" w:hAnsi="Times New Roman" w:cs="Times New Roman"/>
          <w:lang w:val="es-419"/>
        </w:rPr>
        <w:t xml:space="preserve">Exploring the personality and relationship factors that mediate the connection between differentiation of self and phubbing. </w:t>
      </w:r>
      <w:r>
        <w:rPr>
          <w:rFonts w:ascii="Times New Roman" w:hAnsi="Times New Roman" w:cs="Times New Roman"/>
          <w:i/>
          <w:iCs/>
          <w:lang w:val="es-419"/>
        </w:rPr>
        <w:t>Scientific Reports</w:t>
      </w:r>
      <w:r>
        <w:rPr>
          <w:rFonts w:ascii="Times New Roman" w:hAnsi="Times New Roman" w:cs="Times New Roman"/>
          <w:lang w:val="es-419"/>
        </w:rPr>
        <w:t xml:space="preserve">, </w:t>
      </w:r>
      <w:r>
        <w:rPr>
          <w:rFonts w:ascii="Times New Roman" w:hAnsi="Times New Roman" w:cs="Times New Roman"/>
          <w:i/>
          <w:iCs/>
          <w:lang w:val="es-419"/>
        </w:rPr>
        <w:t>14</w:t>
      </w:r>
      <w:r>
        <w:rPr>
          <w:rFonts w:ascii="Times New Roman" w:hAnsi="Times New Roman" w:cs="Times New Roman"/>
          <w:lang w:val="es-419"/>
        </w:rPr>
        <w:t>(1), 6572. https://doi.org/10.1038/s41598-024-55560-1</w:t>
      </w:r>
    </w:p>
    <w:p w14:paraId="710B71BA" w14:textId="77777777" w:rsidR="00264258" w:rsidRPr="00264258" w:rsidRDefault="00264258" w:rsidP="00264258">
      <w:pPr>
        <w:pStyle w:val="Bibliografia"/>
        <w:spacing w:line="360" w:lineRule="auto"/>
        <w:ind w:firstLine="709"/>
        <w:rPr>
          <w:rFonts w:ascii="Times New Roman" w:hAnsi="Times New Roman" w:cs="Times New Roman"/>
          <w:lang w:val="es-419"/>
        </w:rPr>
      </w:pPr>
      <w:r>
        <w:rPr>
          <w:rFonts w:ascii="Times New Roman" w:hAnsi="Times New Roman" w:cs="Times New Roman"/>
          <w:lang w:val="es-419"/>
        </w:rPr>
        <w:t xml:space="preserve">Przybylski, A. K., Murayama, K., DeHaan, C. R., &amp; Gladwell, V. (2013). Motivational, emotional, and behavioral correlates of fear of missing out. </w:t>
      </w:r>
      <w:r>
        <w:rPr>
          <w:rFonts w:ascii="Times New Roman" w:hAnsi="Times New Roman" w:cs="Times New Roman"/>
          <w:i/>
          <w:iCs/>
          <w:lang w:val="es-419"/>
        </w:rPr>
        <w:t>Computers in Human Behavior</w:t>
      </w:r>
      <w:r>
        <w:rPr>
          <w:rFonts w:ascii="Times New Roman" w:hAnsi="Times New Roman" w:cs="Times New Roman"/>
          <w:lang w:val="es-419"/>
        </w:rPr>
        <w:t xml:space="preserve">, </w:t>
      </w:r>
      <w:r>
        <w:rPr>
          <w:rFonts w:ascii="Times New Roman" w:hAnsi="Times New Roman" w:cs="Times New Roman"/>
          <w:i/>
          <w:iCs/>
          <w:lang w:val="es-419"/>
        </w:rPr>
        <w:t>29</w:t>
      </w:r>
      <w:r>
        <w:rPr>
          <w:rFonts w:ascii="Times New Roman" w:hAnsi="Times New Roman" w:cs="Times New Roman"/>
          <w:lang w:val="es-419"/>
        </w:rPr>
        <w:t>(4), 1841–1848. https://doi.org/10.1016/j.chb.2013.02.014</w:t>
      </w:r>
    </w:p>
    <w:p w14:paraId="5F16E49B" w14:textId="77777777" w:rsidR="00264258" w:rsidRPr="00264258" w:rsidRDefault="00264258" w:rsidP="00264258">
      <w:pPr>
        <w:pStyle w:val="Bibliografia"/>
        <w:spacing w:line="360" w:lineRule="auto"/>
        <w:ind w:firstLine="709"/>
        <w:rPr>
          <w:rFonts w:ascii="Times New Roman" w:hAnsi="Times New Roman" w:cs="Times New Roman"/>
          <w:lang w:val="es-419"/>
        </w:rPr>
      </w:pPr>
      <w:r>
        <w:rPr>
          <w:rFonts w:ascii="Times New Roman" w:hAnsi="Times New Roman" w:cs="Times New Roman"/>
          <w:lang w:val="es-419"/>
        </w:rPr>
        <w:t xml:space="preserve">Saygın, M., &amp; Karadal, H. (2022). The Fear of Missing Out (FoMO): Theoretical Approach and Measurement in Organizations. W F. Özsungur (Red.), </w:t>
      </w:r>
      <w:r>
        <w:rPr>
          <w:rFonts w:ascii="Times New Roman" w:hAnsi="Times New Roman" w:cs="Times New Roman"/>
          <w:i/>
          <w:iCs/>
          <w:lang w:val="es-419"/>
        </w:rPr>
        <w:t>Advances in Human and Social Aspects of Technology</w:t>
      </w:r>
      <w:r>
        <w:rPr>
          <w:rFonts w:ascii="Times New Roman" w:hAnsi="Times New Roman" w:cs="Times New Roman"/>
          <w:lang w:val="es-419"/>
        </w:rPr>
        <w:t xml:space="preserve"> (s. 631–651). IGI Global. https://doi.org/10.4018/978-1-7998-9187-1.ch028</w:t>
      </w:r>
    </w:p>
    <w:p w14:paraId="0C4CF33E" w14:textId="77777777" w:rsidR="00264258" w:rsidRPr="00264258" w:rsidRDefault="00264258" w:rsidP="00264258">
      <w:pPr>
        <w:pStyle w:val="Bibliografia"/>
        <w:spacing w:line="360" w:lineRule="auto"/>
        <w:ind w:firstLine="709"/>
        <w:rPr>
          <w:rFonts w:ascii="Times New Roman" w:hAnsi="Times New Roman" w:cs="Times New Roman"/>
          <w:lang w:val="es-419"/>
        </w:rPr>
      </w:pPr>
      <w:r>
        <w:rPr>
          <w:rFonts w:ascii="Times New Roman" w:hAnsi="Times New Roman" w:cs="Times New Roman"/>
          <w:lang w:val="es-419"/>
        </w:rPr>
        <w:t xml:space="preserve">Takács, J., &amp; Seregély, B. (2025). Parallel mediation of FoMO and self-control on the relationship between problematic smartphone use and neuroticism, at-risk group’s characteristics among young adults. </w:t>
      </w:r>
      <w:r>
        <w:rPr>
          <w:rFonts w:ascii="Times New Roman" w:hAnsi="Times New Roman" w:cs="Times New Roman"/>
          <w:i/>
          <w:iCs/>
          <w:lang w:val="es-419"/>
        </w:rPr>
        <w:t>Acta Psychologica</w:t>
      </w:r>
      <w:r>
        <w:rPr>
          <w:rFonts w:ascii="Times New Roman" w:hAnsi="Times New Roman" w:cs="Times New Roman"/>
          <w:lang w:val="es-419"/>
        </w:rPr>
        <w:t xml:space="preserve">, </w:t>
      </w:r>
      <w:r>
        <w:rPr>
          <w:rFonts w:ascii="Times New Roman" w:hAnsi="Times New Roman" w:cs="Times New Roman"/>
          <w:i/>
          <w:iCs/>
          <w:lang w:val="es-419"/>
        </w:rPr>
        <w:t>260</w:t>
      </w:r>
      <w:r>
        <w:rPr>
          <w:rFonts w:ascii="Times New Roman" w:hAnsi="Times New Roman" w:cs="Times New Roman"/>
          <w:lang w:val="es-419"/>
        </w:rPr>
        <w:t>, 105608. https://doi.org/10.1016/j.actpsy.2025.105608</w:t>
      </w:r>
    </w:p>
    <w:p w14:paraId="7F1C3855" w14:textId="77777777" w:rsidR="00264258" w:rsidRPr="00264258" w:rsidRDefault="00264258" w:rsidP="00264258">
      <w:pPr>
        <w:pStyle w:val="Bibliografia"/>
        <w:spacing w:line="360" w:lineRule="auto"/>
        <w:ind w:firstLine="709"/>
        <w:rPr>
          <w:rFonts w:ascii="Times New Roman" w:hAnsi="Times New Roman" w:cs="Times New Roman"/>
        </w:rPr>
      </w:pPr>
      <w:r>
        <w:rPr>
          <w:rFonts w:ascii="Times New Roman" w:hAnsi="Times New Roman" w:cs="Times New Roman"/>
          <w:lang w:val="es-419"/>
        </w:rPr>
        <w:t xml:space="preserve">Wang, L., Zhou, X., Song, X., Gan, X., Zhang, R., Liu, X., Xu, T., Jiao, G., Ferraro, S., Bore, M. C., Yu, F., Zhao, W., Montag, C., &amp; Becker, B. (2023). Fear of missing out (FOMO) </w:t>
      </w:r>
      <w:r>
        <w:rPr>
          <w:rFonts w:ascii="Times New Roman" w:hAnsi="Times New Roman" w:cs="Times New Roman"/>
          <w:lang w:val="es-419"/>
        </w:rPr>
        <w:lastRenderedPageBreak/>
        <w:t xml:space="preserve">associates with reduced cortical thickness in core regions of the posterior default mode network and higher levels of problematic smartphone and social media use. </w:t>
      </w:r>
      <w:r>
        <w:rPr>
          <w:rFonts w:ascii="Times New Roman" w:hAnsi="Times New Roman" w:cs="Times New Roman"/>
          <w:i/>
          <w:iCs/>
        </w:rPr>
        <w:t>Addictive Behaviors</w:t>
      </w:r>
      <w:r>
        <w:rPr>
          <w:rFonts w:ascii="Times New Roman" w:hAnsi="Times New Roman" w:cs="Times New Roman"/>
        </w:rPr>
        <w:t xml:space="preserve">, </w:t>
      </w:r>
      <w:r>
        <w:rPr>
          <w:rFonts w:ascii="Times New Roman" w:hAnsi="Times New Roman" w:cs="Times New Roman"/>
          <w:i/>
          <w:iCs/>
        </w:rPr>
        <w:t>143</w:t>
      </w:r>
      <w:r>
        <w:rPr>
          <w:rFonts w:ascii="Times New Roman" w:hAnsi="Times New Roman" w:cs="Times New Roman"/>
        </w:rPr>
        <w:t>, 107709. https://doi.org/10.1016/j.addbeh.2023.107709</w:t>
      </w:r>
    </w:p>
    <w:p w14:paraId="14FFDABF" w14:textId="19448248" w:rsidR="00264258" w:rsidRDefault="00264258" w:rsidP="00264258">
      <w:pPr>
        <w:spacing w:line="360" w:lineRule="auto"/>
        <w:ind w:firstLine="709"/>
        <w:contextualSpacing/>
        <w:rPr>
          <w:rFonts w:ascii="Times New Roman" w:hAnsi="Times New Roman" w:cs="Times New Roman"/>
        </w:rPr>
      </w:pPr>
      <w:r>
        <w:rPr>
          <w:rFonts w:ascii="Times New Roman" w:hAnsi="Times New Roman" w:cs="Times New Roman"/>
        </w:rPr>
        <w:fldChar w:fldCharType="end"/>
      </w:r>
    </w:p>
    <w:p w14:paraId="085926D3" w14:textId="77777777" w:rsidR="00264258" w:rsidRPr="00D54759" w:rsidRDefault="00264258" w:rsidP="00B072A7">
      <w:pPr>
        <w:spacing w:line="360" w:lineRule="auto"/>
        <w:ind w:firstLine="709"/>
        <w:contextualSpacing/>
        <w:rPr>
          <w:rFonts w:ascii="Times New Roman" w:hAnsi="Times New Roman" w:cs="Times New Roman"/>
        </w:rPr>
      </w:pPr>
    </w:p>
    <w:sectPr w:rsidR="00264258" w:rsidRPr="00D54759" w:rsidSect="00992EC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kub Janczura (jakubjanczura0102)" w:date="2026-05-27T13:23:00Z" w:initials="JJ">
    <w:p w14:paraId="58ECB7FD" w14:textId="4F0067F4" w:rsidR="008F16B9" w:rsidRDefault="008F16B9">
      <w:pPr>
        <w:pStyle w:val="Tekstkomentarza"/>
      </w:pPr>
      <w:r>
        <w:rPr>
          <w:rStyle w:val="Odwoaniedokomentarza"/>
        </w:rPr>
        <w:annotationRef/>
      </w:r>
      <w:r>
        <w:t>Zabrakło pkt 7 i 11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ECB7F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B9C6F" w16cex:dateUtc="2026-05-27T11:23:00Z">
    <w16cex:extLst>
      <w16:ext w16:uri="{CE6994B0-6A32-4C9F-8C6B-6E91EDA988CE}">
        <cr:reactions xmlns:cr="http://schemas.microsoft.com/office/comments/2020/reactions">
          <cr:reaction reactionType="1">
            <cr:reactionInfo dateUtc="2026-05-29T09:24:20Z">
              <cr:user userId="2339b4ea1bc50115" userProvider="Windows Live" userName="Oliwia Sator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ECB7FD" w16cid:durableId="36AB9C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0C79" w14:textId="77777777" w:rsidR="00086628" w:rsidRDefault="00086628" w:rsidP="00E96025">
      <w:pPr>
        <w:spacing w:after="0" w:line="240" w:lineRule="auto"/>
      </w:pPr>
      <w:r>
        <w:separator/>
      </w:r>
    </w:p>
  </w:endnote>
  <w:endnote w:type="continuationSeparator" w:id="0">
    <w:p w14:paraId="2144B623" w14:textId="77777777" w:rsidR="00086628" w:rsidRDefault="00086628" w:rsidP="00E96025">
      <w:pPr>
        <w:spacing w:after="0" w:line="240" w:lineRule="auto"/>
      </w:pPr>
      <w:r>
        <w:continuationSeparator/>
      </w:r>
    </w:p>
  </w:endnote>
  <w:endnote w:id="1">
    <w:p w14:paraId="023C29DD" w14:textId="77777777" w:rsidR="00AC28B6" w:rsidRDefault="00AC28B6" w:rsidP="00AC28B6">
      <w:pPr>
        <w:pStyle w:val="Tekstprzypisukocowego"/>
      </w:pPr>
      <w:r>
        <w:rPr>
          <w:rStyle w:val="Odwoanieprzypisukocowego"/>
        </w:rPr>
        <w:endnoteRef/>
      </w:r>
      <w:r>
        <w:t xml:space="preserve"> </w:t>
      </w:r>
      <w:r w:rsidRPr="00264258">
        <w:rPr>
          <w:rFonts w:ascii="Times New Roman" w:hAnsi="Times New Roman" w:cs="Times New Roman"/>
        </w:rPr>
        <w:t xml:space="preserve">Fragment opracowany przy wsparciu narzędzia </w:t>
      </w:r>
      <w:r>
        <w:rPr>
          <w:rFonts w:ascii="Times New Roman" w:hAnsi="Times New Roman" w:cs="Times New Roman"/>
        </w:rPr>
        <w:t>Claude Sonnet 4.6</w:t>
      </w:r>
      <w:r w:rsidRPr="00264258">
        <w:rPr>
          <w:rFonts w:ascii="Times New Roman" w:hAnsi="Times New Roman" w:cs="Times New Roman"/>
        </w:rPr>
        <w:t xml:space="preserve">, data dostępu: 25.05.2026 r. Zastosowane komendy obejmowały polecenia syntezy literatury naukowej z zakresu </w:t>
      </w:r>
      <w:r>
        <w:rPr>
          <w:rFonts w:ascii="Times New Roman" w:hAnsi="Times New Roman" w:cs="Times New Roman"/>
        </w:rPr>
        <w:t>FOMO oraz EEG</w:t>
      </w:r>
      <w:r w:rsidRPr="00264258">
        <w:rPr>
          <w:rFonts w:ascii="Times New Roman" w:hAnsi="Times New Roman" w:cs="Times New Roman"/>
        </w:rPr>
        <w:t xml:space="preserve"> </w:t>
      </w:r>
      <w:r>
        <w:rPr>
          <w:rFonts w:ascii="Times New Roman" w:hAnsi="Times New Roman" w:cs="Times New Roman"/>
        </w:rPr>
        <w:t xml:space="preserve">a także </w:t>
      </w:r>
      <w:r w:rsidRPr="00264258">
        <w:rPr>
          <w:rFonts w:ascii="Times New Roman" w:hAnsi="Times New Roman" w:cs="Times New Roman"/>
        </w:rPr>
        <w:t xml:space="preserve"> porządkowania struktury logicznej argumentów.</w:t>
      </w:r>
    </w:p>
  </w:endnote>
  <w:endnote w:id="2">
    <w:p w14:paraId="00288C9C" w14:textId="05C3D003" w:rsidR="003D1D38" w:rsidRDefault="003D1D38">
      <w:pPr>
        <w:pStyle w:val="Tekstprzypisukocowego"/>
      </w:pPr>
      <w:r>
        <w:rPr>
          <w:rStyle w:val="Odwoanieprzypisukocowego"/>
        </w:rPr>
        <w:endnoteRef/>
      </w:r>
      <w:r>
        <w:t xml:space="preserve"> </w:t>
      </w:r>
      <w:r w:rsidRPr="00264258">
        <w:rPr>
          <w:rFonts w:ascii="Times New Roman" w:hAnsi="Times New Roman" w:cs="Times New Roman"/>
        </w:rPr>
        <w:t xml:space="preserve">Analiza </w:t>
      </w:r>
      <w:r>
        <w:rPr>
          <w:rFonts w:ascii="Times New Roman" w:hAnsi="Times New Roman" w:cs="Times New Roman"/>
        </w:rPr>
        <w:t>odpowiedniej procedury</w:t>
      </w:r>
      <w:r w:rsidRPr="00264258">
        <w:rPr>
          <w:rFonts w:ascii="Times New Roman" w:hAnsi="Times New Roman" w:cs="Times New Roman"/>
        </w:rPr>
        <w:t xml:space="preserve"> w tym akapicie powstała przy wsparciu narzędzia Claude Sonnet</w:t>
      </w:r>
      <w:r>
        <w:rPr>
          <w:rFonts w:ascii="Times New Roman" w:hAnsi="Times New Roman" w:cs="Times New Roman"/>
        </w:rPr>
        <w:t>4.6</w:t>
      </w:r>
      <w:r w:rsidRPr="00264258">
        <w:rPr>
          <w:rFonts w:ascii="Times New Roman" w:hAnsi="Times New Roman" w:cs="Times New Roman"/>
        </w:rPr>
        <w:t>, data dostępu: 26.05.2026 r. Zastosowane komendy dotyczyły stylizacji i parafrazy tekstu bazowego przygotowanego przez autora w celu podniesienia rygoru akademickiego.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8E5DD" w14:textId="77777777" w:rsidR="00086628" w:rsidRDefault="00086628" w:rsidP="00E96025">
      <w:pPr>
        <w:spacing w:after="0" w:line="240" w:lineRule="auto"/>
      </w:pPr>
      <w:r>
        <w:separator/>
      </w:r>
    </w:p>
  </w:footnote>
  <w:footnote w:type="continuationSeparator" w:id="0">
    <w:p w14:paraId="2BDF803B" w14:textId="77777777" w:rsidR="00086628" w:rsidRDefault="00086628" w:rsidP="00E960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6193"/>
    <w:multiLevelType w:val="multilevel"/>
    <w:tmpl w:val="06D0A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A4AF0"/>
    <w:multiLevelType w:val="hybridMultilevel"/>
    <w:tmpl w:val="3E721D96"/>
    <w:lvl w:ilvl="0" w:tplc="04150001">
      <w:start w:val="1"/>
      <w:numFmt w:val="bullet"/>
      <w:lvlText w:val=""/>
      <w:lvlJc w:val="left"/>
      <w:pPr>
        <w:ind w:left="709" w:hanging="360"/>
      </w:pPr>
      <w:rPr>
        <w:rFonts w:ascii="Symbol" w:hAnsi="Symbol" w:hint="default"/>
      </w:rPr>
    </w:lvl>
    <w:lvl w:ilvl="1" w:tplc="04150003" w:tentative="1">
      <w:start w:val="1"/>
      <w:numFmt w:val="bullet"/>
      <w:lvlText w:val="o"/>
      <w:lvlJc w:val="left"/>
      <w:pPr>
        <w:ind w:left="1429" w:hanging="360"/>
      </w:pPr>
      <w:rPr>
        <w:rFonts w:ascii="Courier New" w:hAnsi="Courier New" w:cs="Courier New" w:hint="default"/>
      </w:rPr>
    </w:lvl>
    <w:lvl w:ilvl="2" w:tplc="04150005" w:tentative="1">
      <w:start w:val="1"/>
      <w:numFmt w:val="bullet"/>
      <w:lvlText w:val=""/>
      <w:lvlJc w:val="left"/>
      <w:pPr>
        <w:ind w:left="2149" w:hanging="360"/>
      </w:pPr>
      <w:rPr>
        <w:rFonts w:ascii="Wingdings" w:hAnsi="Wingdings" w:hint="default"/>
      </w:rPr>
    </w:lvl>
    <w:lvl w:ilvl="3" w:tplc="04150001" w:tentative="1">
      <w:start w:val="1"/>
      <w:numFmt w:val="bullet"/>
      <w:lvlText w:val=""/>
      <w:lvlJc w:val="left"/>
      <w:pPr>
        <w:ind w:left="2869" w:hanging="360"/>
      </w:pPr>
      <w:rPr>
        <w:rFonts w:ascii="Symbol" w:hAnsi="Symbol" w:hint="default"/>
      </w:rPr>
    </w:lvl>
    <w:lvl w:ilvl="4" w:tplc="04150003" w:tentative="1">
      <w:start w:val="1"/>
      <w:numFmt w:val="bullet"/>
      <w:lvlText w:val="o"/>
      <w:lvlJc w:val="left"/>
      <w:pPr>
        <w:ind w:left="3589" w:hanging="360"/>
      </w:pPr>
      <w:rPr>
        <w:rFonts w:ascii="Courier New" w:hAnsi="Courier New" w:cs="Courier New" w:hint="default"/>
      </w:rPr>
    </w:lvl>
    <w:lvl w:ilvl="5" w:tplc="04150005" w:tentative="1">
      <w:start w:val="1"/>
      <w:numFmt w:val="bullet"/>
      <w:lvlText w:val=""/>
      <w:lvlJc w:val="left"/>
      <w:pPr>
        <w:ind w:left="4309" w:hanging="360"/>
      </w:pPr>
      <w:rPr>
        <w:rFonts w:ascii="Wingdings" w:hAnsi="Wingdings" w:hint="default"/>
      </w:rPr>
    </w:lvl>
    <w:lvl w:ilvl="6" w:tplc="04150001" w:tentative="1">
      <w:start w:val="1"/>
      <w:numFmt w:val="bullet"/>
      <w:lvlText w:val=""/>
      <w:lvlJc w:val="left"/>
      <w:pPr>
        <w:ind w:left="5029" w:hanging="360"/>
      </w:pPr>
      <w:rPr>
        <w:rFonts w:ascii="Symbol" w:hAnsi="Symbol" w:hint="default"/>
      </w:rPr>
    </w:lvl>
    <w:lvl w:ilvl="7" w:tplc="04150003" w:tentative="1">
      <w:start w:val="1"/>
      <w:numFmt w:val="bullet"/>
      <w:lvlText w:val="o"/>
      <w:lvlJc w:val="left"/>
      <w:pPr>
        <w:ind w:left="5749" w:hanging="360"/>
      </w:pPr>
      <w:rPr>
        <w:rFonts w:ascii="Courier New" w:hAnsi="Courier New" w:cs="Courier New" w:hint="default"/>
      </w:rPr>
    </w:lvl>
    <w:lvl w:ilvl="8" w:tplc="04150005" w:tentative="1">
      <w:start w:val="1"/>
      <w:numFmt w:val="bullet"/>
      <w:lvlText w:val=""/>
      <w:lvlJc w:val="left"/>
      <w:pPr>
        <w:ind w:left="6469" w:hanging="360"/>
      </w:pPr>
      <w:rPr>
        <w:rFonts w:ascii="Wingdings" w:hAnsi="Wingdings" w:hint="default"/>
      </w:rPr>
    </w:lvl>
  </w:abstractNum>
  <w:abstractNum w:abstractNumId="2" w15:restartNumberingAfterBreak="0">
    <w:nsid w:val="1AF021EF"/>
    <w:multiLevelType w:val="multilevel"/>
    <w:tmpl w:val="115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D40F8"/>
    <w:multiLevelType w:val="multilevel"/>
    <w:tmpl w:val="0D8E80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D7D94"/>
    <w:multiLevelType w:val="hybridMultilevel"/>
    <w:tmpl w:val="DA1E51B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2B5147A"/>
    <w:multiLevelType w:val="multilevel"/>
    <w:tmpl w:val="8964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16E9F"/>
    <w:multiLevelType w:val="multilevel"/>
    <w:tmpl w:val="5356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D2341"/>
    <w:multiLevelType w:val="multilevel"/>
    <w:tmpl w:val="4558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A35A2"/>
    <w:multiLevelType w:val="multilevel"/>
    <w:tmpl w:val="7FE4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54C99"/>
    <w:multiLevelType w:val="multilevel"/>
    <w:tmpl w:val="0D8E80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300496">
    <w:abstractNumId w:val="7"/>
  </w:num>
  <w:num w:numId="2" w16cid:durableId="1615167304">
    <w:abstractNumId w:val="2"/>
  </w:num>
  <w:num w:numId="3" w16cid:durableId="1129737883">
    <w:abstractNumId w:val="5"/>
  </w:num>
  <w:num w:numId="4" w16cid:durableId="1131827656">
    <w:abstractNumId w:val="9"/>
  </w:num>
  <w:num w:numId="5" w16cid:durableId="868756286">
    <w:abstractNumId w:val="6"/>
  </w:num>
  <w:num w:numId="6" w16cid:durableId="802237390">
    <w:abstractNumId w:val="8"/>
  </w:num>
  <w:num w:numId="7" w16cid:durableId="1407337060">
    <w:abstractNumId w:val="0"/>
  </w:num>
  <w:num w:numId="8" w16cid:durableId="1812164407">
    <w:abstractNumId w:val="4"/>
  </w:num>
  <w:num w:numId="9" w16cid:durableId="572014065">
    <w:abstractNumId w:val="3"/>
  </w:num>
  <w:num w:numId="10" w16cid:durableId="5610194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ub Janczura (jakubjanczura0102)">
    <w15:presenceInfo w15:providerId="AD" w15:userId="S::jakubjanczura0102@o365.doktorant.umk.pl::f6b79c7f-e37b-451e-b125-303e95f106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25"/>
    <w:rsid w:val="0000036C"/>
    <w:rsid w:val="00063E86"/>
    <w:rsid w:val="00086628"/>
    <w:rsid w:val="000A7807"/>
    <w:rsid w:val="00135AB2"/>
    <w:rsid w:val="00144EBC"/>
    <w:rsid w:val="00150501"/>
    <w:rsid w:val="00187CD1"/>
    <w:rsid w:val="001F61C2"/>
    <w:rsid w:val="00264258"/>
    <w:rsid w:val="002C1A64"/>
    <w:rsid w:val="002F048E"/>
    <w:rsid w:val="003D1D38"/>
    <w:rsid w:val="003F4500"/>
    <w:rsid w:val="004C7B09"/>
    <w:rsid w:val="004F1EA6"/>
    <w:rsid w:val="00575D1D"/>
    <w:rsid w:val="005C02C5"/>
    <w:rsid w:val="005C082A"/>
    <w:rsid w:val="00623D53"/>
    <w:rsid w:val="0065552D"/>
    <w:rsid w:val="006914BA"/>
    <w:rsid w:val="006D0FC2"/>
    <w:rsid w:val="007A41D7"/>
    <w:rsid w:val="007F2DB7"/>
    <w:rsid w:val="0084647A"/>
    <w:rsid w:val="008F16B9"/>
    <w:rsid w:val="009333CB"/>
    <w:rsid w:val="00933E68"/>
    <w:rsid w:val="00992EC9"/>
    <w:rsid w:val="00994FEA"/>
    <w:rsid w:val="00AA2CF3"/>
    <w:rsid w:val="00AC28B6"/>
    <w:rsid w:val="00B072A7"/>
    <w:rsid w:val="00B276DD"/>
    <w:rsid w:val="00CB3B81"/>
    <w:rsid w:val="00CB60CD"/>
    <w:rsid w:val="00CD0A9D"/>
    <w:rsid w:val="00CD13A5"/>
    <w:rsid w:val="00D2097D"/>
    <w:rsid w:val="00D54759"/>
    <w:rsid w:val="00D82E4B"/>
    <w:rsid w:val="00DC0DB8"/>
    <w:rsid w:val="00E771E1"/>
    <w:rsid w:val="00E96025"/>
    <w:rsid w:val="00F12B6A"/>
    <w:rsid w:val="00F6511D"/>
    <w:rsid w:val="00F85DC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A738B"/>
  <w15:chartTrackingRefBased/>
  <w15:docId w15:val="{F27F4B4E-A449-457B-9723-259BCC21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96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96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9602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9602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9602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9602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9602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9602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9602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9602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9602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9602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9602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9602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9602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9602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9602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96025"/>
    <w:rPr>
      <w:rFonts w:eastAsiaTheme="majorEastAsia" w:cstheme="majorBidi"/>
      <w:color w:val="272727" w:themeColor="text1" w:themeTint="D8"/>
    </w:rPr>
  </w:style>
  <w:style w:type="paragraph" w:styleId="Tytu">
    <w:name w:val="Title"/>
    <w:basedOn w:val="Normalny"/>
    <w:next w:val="Normalny"/>
    <w:link w:val="TytuZnak"/>
    <w:uiPriority w:val="10"/>
    <w:qFormat/>
    <w:rsid w:val="00E96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9602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9602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9602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96025"/>
    <w:pPr>
      <w:spacing w:before="160"/>
      <w:jc w:val="center"/>
    </w:pPr>
    <w:rPr>
      <w:i/>
      <w:iCs/>
      <w:color w:val="404040" w:themeColor="text1" w:themeTint="BF"/>
    </w:rPr>
  </w:style>
  <w:style w:type="character" w:customStyle="1" w:styleId="CytatZnak">
    <w:name w:val="Cytat Znak"/>
    <w:basedOn w:val="Domylnaczcionkaakapitu"/>
    <w:link w:val="Cytat"/>
    <w:uiPriority w:val="29"/>
    <w:rsid w:val="00E96025"/>
    <w:rPr>
      <w:i/>
      <w:iCs/>
      <w:color w:val="404040" w:themeColor="text1" w:themeTint="BF"/>
    </w:rPr>
  </w:style>
  <w:style w:type="paragraph" w:styleId="Akapitzlist">
    <w:name w:val="List Paragraph"/>
    <w:basedOn w:val="Normalny"/>
    <w:uiPriority w:val="34"/>
    <w:qFormat/>
    <w:rsid w:val="00E96025"/>
    <w:pPr>
      <w:ind w:left="720"/>
      <w:contextualSpacing/>
    </w:pPr>
  </w:style>
  <w:style w:type="character" w:styleId="Wyrnienieintensywne">
    <w:name w:val="Intense Emphasis"/>
    <w:basedOn w:val="Domylnaczcionkaakapitu"/>
    <w:uiPriority w:val="21"/>
    <w:qFormat/>
    <w:rsid w:val="00E96025"/>
    <w:rPr>
      <w:i/>
      <w:iCs/>
      <w:color w:val="0F4761" w:themeColor="accent1" w:themeShade="BF"/>
    </w:rPr>
  </w:style>
  <w:style w:type="paragraph" w:styleId="Cytatintensywny">
    <w:name w:val="Intense Quote"/>
    <w:basedOn w:val="Normalny"/>
    <w:next w:val="Normalny"/>
    <w:link w:val="CytatintensywnyZnak"/>
    <w:uiPriority w:val="30"/>
    <w:qFormat/>
    <w:rsid w:val="00E96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96025"/>
    <w:rPr>
      <w:i/>
      <w:iCs/>
      <w:color w:val="0F4761" w:themeColor="accent1" w:themeShade="BF"/>
    </w:rPr>
  </w:style>
  <w:style w:type="character" w:styleId="Odwoanieintensywne">
    <w:name w:val="Intense Reference"/>
    <w:basedOn w:val="Domylnaczcionkaakapitu"/>
    <w:uiPriority w:val="32"/>
    <w:qFormat/>
    <w:rsid w:val="00E96025"/>
    <w:rPr>
      <w:b/>
      <w:bCs/>
      <w:smallCaps/>
      <w:color w:val="0F4761" w:themeColor="accent1" w:themeShade="BF"/>
      <w:spacing w:val="5"/>
    </w:rPr>
  </w:style>
  <w:style w:type="paragraph" w:styleId="Nagwek">
    <w:name w:val="header"/>
    <w:basedOn w:val="Normalny"/>
    <w:link w:val="NagwekZnak"/>
    <w:uiPriority w:val="99"/>
    <w:unhideWhenUsed/>
    <w:rsid w:val="00E9602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E96025"/>
  </w:style>
  <w:style w:type="paragraph" w:styleId="Stopka">
    <w:name w:val="footer"/>
    <w:basedOn w:val="Normalny"/>
    <w:link w:val="StopkaZnak"/>
    <w:uiPriority w:val="99"/>
    <w:unhideWhenUsed/>
    <w:rsid w:val="00E9602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E96025"/>
  </w:style>
  <w:style w:type="paragraph" w:styleId="Tekstprzypisudolnego">
    <w:name w:val="footnote text"/>
    <w:basedOn w:val="Normalny"/>
    <w:link w:val="TekstprzypisudolnegoZnak"/>
    <w:uiPriority w:val="99"/>
    <w:semiHidden/>
    <w:unhideWhenUsed/>
    <w:rsid w:val="00E9602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E96025"/>
    <w:rPr>
      <w:sz w:val="20"/>
      <w:szCs w:val="20"/>
    </w:rPr>
  </w:style>
  <w:style w:type="character" w:styleId="Odwoanieprzypisudolnego">
    <w:name w:val="footnote reference"/>
    <w:basedOn w:val="Domylnaczcionkaakapitu"/>
    <w:uiPriority w:val="99"/>
    <w:semiHidden/>
    <w:unhideWhenUsed/>
    <w:rsid w:val="00E96025"/>
    <w:rPr>
      <w:vertAlign w:val="superscript"/>
    </w:rPr>
  </w:style>
  <w:style w:type="character" w:styleId="Hipercze">
    <w:name w:val="Hyperlink"/>
    <w:basedOn w:val="Domylnaczcionkaakapitu"/>
    <w:uiPriority w:val="99"/>
    <w:unhideWhenUsed/>
    <w:rsid w:val="006914BA"/>
    <w:rPr>
      <w:color w:val="467886" w:themeColor="hyperlink"/>
      <w:u w:val="single"/>
    </w:rPr>
  </w:style>
  <w:style w:type="character" w:styleId="Nierozpoznanawzmianka">
    <w:name w:val="Unresolved Mention"/>
    <w:basedOn w:val="Domylnaczcionkaakapitu"/>
    <w:uiPriority w:val="99"/>
    <w:semiHidden/>
    <w:unhideWhenUsed/>
    <w:rsid w:val="006914BA"/>
    <w:rPr>
      <w:color w:val="605E5C"/>
      <w:shd w:val="clear" w:color="auto" w:fill="E1DFDD"/>
    </w:rPr>
  </w:style>
  <w:style w:type="character" w:styleId="Odwoaniedokomentarza">
    <w:name w:val="annotation reference"/>
    <w:basedOn w:val="Domylnaczcionkaakapitu"/>
    <w:uiPriority w:val="99"/>
    <w:semiHidden/>
    <w:unhideWhenUsed/>
    <w:rsid w:val="00933E68"/>
    <w:rPr>
      <w:sz w:val="16"/>
      <w:szCs w:val="16"/>
    </w:rPr>
  </w:style>
  <w:style w:type="paragraph" w:styleId="Tekstkomentarza">
    <w:name w:val="annotation text"/>
    <w:basedOn w:val="Normalny"/>
    <w:link w:val="TekstkomentarzaZnak"/>
    <w:uiPriority w:val="99"/>
    <w:unhideWhenUsed/>
    <w:rsid w:val="00933E68"/>
    <w:pPr>
      <w:spacing w:line="240" w:lineRule="auto"/>
    </w:pPr>
    <w:rPr>
      <w:sz w:val="20"/>
      <w:szCs w:val="20"/>
    </w:rPr>
  </w:style>
  <w:style w:type="character" w:customStyle="1" w:styleId="TekstkomentarzaZnak">
    <w:name w:val="Tekst komentarza Znak"/>
    <w:basedOn w:val="Domylnaczcionkaakapitu"/>
    <w:link w:val="Tekstkomentarza"/>
    <w:uiPriority w:val="99"/>
    <w:rsid w:val="00933E68"/>
    <w:rPr>
      <w:sz w:val="20"/>
      <w:szCs w:val="20"/>
    </w:rPr>
  </w:style>
  <w:style w:type="paragraph" w:styleId="Tematkomentarza">
    <w:name w:val="annotation subject"/>
    <w:basedOn w:val="Tekstkomentarza"/>
    <w:next w:val="Tekstkomentarza"/>
    <w:link w:val="TematkomentarzaZnak"/>
    <w:uiPriority w:val="99"/>
    <w:semiHidden/>
    <w:unhideWhenUsed/>
    <w:rsid w:val="00933E68"/>
    <w:rPr>
      <w:b/>
      <w:bCs/>
    </w:rPr>
  </w:style>
  <w:style w:type="character" w:customStyle="1" w:styleId="TematkomentarzaZnak">
    <w:name w:val="Temat komentarza Znak"/>
    <w:basedOn w:val="TekstkomentarzaZnak"/>
    <w:link w:val="Tematkomentarza"/>
    <w:uiPriority w:val="99"/>
    <w:semiHidden/>
    <w:rsid w:val="00933E68"/>
    <w:rPr>
      <w:b/>
      <w:bCs/>
      <w:sz w:val="20"/>
      <w:szCs w:val="20"/>
    </w:rPr>
  </w:style>
  <w:style w:type="character" w:styleId="UyteHipercze">
    <w:name w:val="FollowedHyperlink"/>
    <w:basedOn w:val="Domylnaczcionkaakapitu"/>
    <w:uiPriority w:val="99"/>
    <w:semiHidden/>
    <w:unhideWhenUsed/>
    <w:rsid w:val="008F16B9"/>
    <w:rPr>
      <w:color w:val="96607D" w:themeColor="followedHyperlink"/>
      <w:u w:val="single"/>
    </w:rPr>
  </w:style>
  <w:style w:type="paragraph" w:styleId="Poprawka">
    <w:name w:val="Revision"/>
    <w:hidden/>
    <w:uiPriority w:val="99"/>
    <w:semiHidden/>
    <w:rsid w:val="00B072A7"/>
    <w:pPr>
      <w:spacing w:after="0" w:line="240" w:lineRule="auto"/>
    </w:pPr>
  </w:style>
  <w:style w:type="paragraph" w:styleId="Bibliografia">
    <w:name w:val="Bibliography"/>
    <w:basedOn w:val="Normalny"/>
    <w:next w:val="Normalny"/>
    <w:uiPriority w:val="37"/>
    <w:unhideWhenUsed/>
    <w:rsid w:val="00264258"/>
  </w:style>
  <w:style w:type="paragraph" w:styleId="Tekstprzypisukocowego">
    <w:name w:val="endnote text"/>
    <w:basedOn w:val="Normalny"/>
    <w:link w:val="TekstprzypisukocowegoZnak"/>
    <w:uiPriority w:val="99"/>
    <w:semiHidden/>
    <w:unhideWhenUsed/>
    <w:rsid w:val="00264258"/>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64258"/>
    <w:rPr>
      <w:sz w:val="20"/>
      <w:szCs w:val="20"/>
    </w:rPr>
  </w:style>
  <w:style w:type="character" w:styleId="Odwoanieprzypisukocowego">
    <w:name w:val="endnote reference"/>
    <w:basedOn w:val="Domylnaczcionkaakapitu"/>
    <w:uiPriority w:val="99"/>
    <w:semiHidden/>
    <w:unhideWhenUsed/>
    <w:rsid w:val="002642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8D61D-27D3-437A-8507-48B0CDDAE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6</Pages>
  <Words>3437</Words>
  <Characters>20622</Characters>
  <Application>Microsoft Office Word</Application>
  <DocSecurity>0</DocSecurity>
  <Lines>171</Lines>
  <Paragraphs>48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Oliwia Satora</dc:creator>
  <cp:keywords/>
  <dc:description/>
  <cp:lastModifiedBy>Oliwia Satora</cp:lastModifiedBy>
  <cp:revision>3</cp:revision>
  <cp:lastPrinted>2026-05-26T12:45:00Z</cp:lastPrinted>
  <dcterms:created xsi:type="dcterms:W3CDTF">2026-05-26T13:08:00Z</dcterms:created>
  <dcterms:modified xsi:type="dcterms:W3CDTF">2026-05-29T10:14:00Z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id="iSUkIxyk"/&gt;&lt;style id="http://www.zotero.org/styles/apa" locale="pl-PL"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