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fe354381edc1910c47ccad2bd9d451a6edc408"/>
    <w:p>
      <w:pPr>
        <w:pStyle w:val="Heading1"/>
      </w:pPr>
      <w:r>
        <w:t xml:space="preserve">SATORI Membership Suite — Project Scope &amp; Starter Bundle Plan (v0.2)</w:t>
      </w:r>
    </w:p>
    <w:p>
      <w:pPr>
        <w:pStyle w:val="FirstParagraph"/>
      </w:pPr>
      <w:r>
        <w:rPr>
          <w:iCs/>
          <w:i/>
        </w:rPr>
        <w:t xml:space="preserve">Firm Baseline — Aug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SATORI Membership Suite is a collection of modular WordPress plugins designed to work great individually and even better together.</w:t>
      </w:r>
      <w:r>
        <w:t xml:space="preserve"> </w:t>
      </w:r>
      <w:r>
        <w:t xml:space="preserve">Each plugin follows common UX, security, and coding standards. The suite will be distributed via</w:t>
      </w:r>
      <w:r>
        <w:t xml:space="preserve"> </w:t>
      </w:r>
      <w:r>
        <w:rPr>
          <w:bCs/>
          <w:b/>
        </w:rPr>
        <w:t xml:space="preserve">wordpressed.com.au</w:t>
      </w:r>
      <w:r>
        <w:t xml:space="preserve"> </w:t>
      </w:r>
      <w:r>
        <w:t xml:space="preserve">(storefront,</w:t>
      </w:r>
      <w:r>
        <w:t xml:space="preserve"> </w:t>
      </w:r>
      <w:r>
        <w:t xml:space="preserve">licensing, updates) while cross-promoting services hosted on</w:t>
      </w:r>
      <w:r>
        <w:t xml:space="preserve"> </w:t>
      </w:r>
      <w:r>
        <w:rPr>
          <w:bCs/>
          <w:b/>
        </w:rPr>
        <w:t xml:space="preserve">satori.com.au</w:t>
      </w:r>
      <w:r>
        <w:t xml:space="preserve">.</w:t>
      </w:r>
    </w:p>
    <w:p>
      <w:pPr>
        <w:pStyle w:val="BodyText"/>
      </w:pPr>
      <w:r>
        <w:t xml:space="preserve">See Appendix C for a visual overview of the distribution and revenue model.</w:t>
      </w:r>
    </w:p>
    <w:p>
      <w:r>
        <w:pict>
          <v:rect style="width:0;height:1.5pt" o:hralign="center" o:hrstd="t" o:hr="t"/>
        </w:pict>
      </w:r>
    </w:p>
    <w:bookmarkEnd w:id="20"/>
    <w:bookmarkStart w:id="21" w:name="scope-and-purpose"/>
    <w:p>
      <w:pPr>
        <w:pStyle w:val="Heading2"/>
      </w:pPr>
      <w:r>
        <w:t xml:space="preserve">1. Scope and Purpose</w:t>
      </w:r>
    </w:p>
    <w:p>
      <w:pPr>
        <w:numPr>
          <w:ilvl w:val="0"/>
          <w:numId w:val="1001"/>
        </w:numPr>
        <w:pStyle w:val="Compact"/>
      </w:pPr>
      <w:r>
        <w:t xml:space="preserve">Create a unified plugin suite with FREE and PRO bundles.</w:t>
      </w:r>
    </w:p>
    <w:p>
      <w:pPr>
        <w:numPr>
          <w:ilvl w:val="0"/>
          <w:numId w:val="1001"/>
        </w:numPr>
        <w:pStyle w:val="Compact"/>
      </w:pPr>
      <w:r>
        <w:t xml:space="preserve">Enterprise functionality (e.g., SSO, audit sinks) is deferred until the core suite is stable and generating revenue.</w:t>
      </w:r>
    </w:p>
    <w:p>
      <w:pPr>
        <w:numPr>
          <w:ilvl w:val="0"/>
          <w:numId w:val="1001"/>
        </w:numPr>
        <w:pStyle w:val="Compact"/>
      </w:pPr>
      <w:r>
        <w:t xml:space="preserve">Prioritize rapid delivery of FREE and PRO bundles to establish market presence and cash flow.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lineup"/>
    <w:p>
      <w:pPr>
        <w:pStyle w:val="Heading2"/>
      </w:pPr>
      <w:r>
        <w:t xml:space="preserve">2. Product Lineup</w:t>
      </w:r>
    </w:p>
    <w:p>
      <w:pPr>
        <w:pStyle w:val="FirstParagraph"/>
      </w:pPr>
      <w:r>
        <w:rPr>
          <w:bCs/>
          <w:b/>
        </w:rPr>
        <w:t xml:space="preserve">Base Modules (FREE/PRO):</w:t>
      </w:r>
      <w:r>
        <w:t xml:space="preserve"> </w:t>
      </w:r>
      <w:r>
        <w:t xml:space="preserve">- SATORI Core</w:t>
      </w:r>
      <w:r>
        <w:t xml:space="preserve"> </w:t>
      </w:r>
      <w:r>
        <w:t xml:space="preserve">- SATORI Forms</w:t>
      </w:r>
      <w:r>
        <w:t xml:space="preserve"> </w:t>
      </w:r>
      <w:r>
        <w:t xml:space="preserve">- SATORI Events</w:t>
      </w:r>
      <w:r>
        <w:t xml:space="preserve"> </w:t>
      </w:r>
      <w:r>
        <w:t xml:space="preserve">- SATORI Members</w:t>
      </w:r>
      <w:r>
        <w:t xml:space="preserve"> </w:t>
      </w:r>
      <w:r>
        <w:t xml:space="preserve">- SATORI Payments</w:t>
      </w:r>
      <w:r>
        <w:t xml:space="preserve"> </w:t>
      </w:r>
      <w:r>
        <w:t xml:space="preserve">- SATORI Search</w:t>
      </w:r>
      <w:r>
        <w:t xml:space="preserve"> </w:t>
      </w:r>
      <w:r>
        <w:t xml:space="preserve">- SATORI Filters</w:t>
      </w:r>
      <w:r>
        <w:t xml:space="preserve"> </w:t>
      </w:r>
      <w:r>
        <w:t xml:space="preserve">- SATORI Notifications</w:t>
      </w:r>
      <w:r>
        <w:t xml:space="preserve"> </w:t>
      </w:r>
      <w:r>
        <w:t xml:space="preserve">- SATORI Reports</w:t>
      </w:r>
    </w:p>
    <w:p>
      <w:pPr>
        <w:pStyle w:val="BodyText"/>
      </w:pPr>
      <w:r>
        <w:rPr>
          <w:bCs/>
          <w:b/>
        </w:rPr>
        <w:t xml:space="preserve">Optional Future Modules:</w:t>
      </w:r>
      <w:r>
        <w:t xml:space="preserve"> </w:t>
      </w:r>
      <w:r>
        <w:t xml:space="preserve">- SATORI Tables (interactive DataTables integration)</w:t>
      </w:r>
      <w:r>
        <w:t xml:space="preserve"> </w:t>
      </w:r>
      <w:r>
        <w:t xml:space="preserve">- SATORI Folders (media/file management)</w:t>
      </w:r>
    </w:p>
    <w:p>
      <w:r>
        <w:pict>
          <v:rect style="width:0;height:1.5pt" o:hralign="center" o:hrstd="t" o:hr="t"/>
        </w:pict>
      </w:r>
    </w:p>
    <w:bookmarkEnd w:id="22"/>
    <w:bookmarkStart w:id="23" w:name="bundling-strategy"/>
    <w:p>
      <w:pPr>
        <w:pStyle w:val="Heading2"/>
      </w:pPr>
      <w:r>
        <w:t xml:space="preserve">3. Bundling Strategy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FREE Bundle:</w:t>
      </w:r>
      <w:r>
        <w:t xml:space="preserve"> </w:t>
      </w:r>
      <w:r>
        <w:t xml:space="preserve">lightweight starter modules (Forms, Events, Search, Filters).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 Bundle:</w:t>
      </w:r>
      <w:r>
        <w:t xml:space="preserve"> </w:t>
      </w:r>
      <w:r>
        <w:t xml:space="preserve">adds Members, Payments, Notifications, Reports, licensing &amp; update services.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Enterprise Bundle:</w:t>
      </w:r>
      <w:r>
        <w:t xml:space="preserve"> </w:t>
      </w:r>
      <w:r>
        <w:t xml:space="preserve">deferred; will focus on SSO, advanced audit, org hierarchies.</w:t>
      </w:r>
    </w:p>
    <w:p>
      <w:pPr>
        <w:pStyle w:val="FirstParagraph"/>
      </w:pPr>
      <w:r>
        <w:t xml:space="preserve">Bundles will be available via</w:t>
      </w:r>
      <w:r>
        <w:t xml:space="preserve"> </w:t>
      </w:r>
      <w:r>
        <w:rPr>
          <w:bCs/>
          <w:b/>
        </w:rPr>
        <w:t xml:space="preserve">wordpressed.com.au</w:t>
      </w:r>
      <w:r>
        <w:t xml:space="preserve"> </w:t>
      </w:r>
      <w:r>
        <w:t xml:space="preserve">with licensing and self-hosted updates.</w:t>
      </w:r>
    </w:p>
    <w:p>
      <w:r>
        <w:pict>
          <v:rect style="width:0;height:1.5pt" o:hralign="center" o:hrstd="t" o:hr="t"/>
        </w:pict>
      </w:r>
    </w:p>
    <w:bookmarkEnd w:id="23"/>
    <w:bookmarkStart w:id="24" w:name="design-and-ux-standards"/>
    <w:p>
      <w:pPr>
        <w:pStyle w:val="Heading2"/>
      </w:pPr>
      <w:r>
        <w:t xml:space="preserve">4. Design and UX Standards</w:t>
      </w:r>
    </w:p>
    <w:p>
      <w:pPr>
        <w:numPr>
          <w:ilvl w:val="0"/>
          <w:numId w:val="1003"/>
        </w:numPr>
        <w:pStyle w:val="Compact"/>
      </w:pPr>
      <w:r>
        <w:t xml:space="preserve">Intuitive and responsive UX across both admin and frontend.</w:t>
      </w:r>
    </w:p>
    <w:p>
      <w:pPr>
        <w:numPr>
          <w:ilvl w:val="0"/>
          <w:numId w:val="1003"/>
        </w:numPr>
        <w:pStyle w:val="Compact"/>
      </w:pPr>
      <w:r>
        <w:t xml:space="preserve">Shared SATORI branding, color scheme, typography.</w:t>
      </w:r>
    </w:p>
    <w:p>
      <w:pPr>
        <w:numPr>
          <w:ilvl w:val="0"/>
          <w:numId w:val="1003"/>
        </w:numPr>
        <w:pStyle w:val="Compact"/>
      </w:pPr>
      <w:r>
        <w:t xml:space="preserve">Dynamic tabbed admin screens with consistent</w:t>
      </w:r>
      <w:r>
        <w:t xml:space="preserve"> </w:t>
      </w:r>
      <w:r>
        <w:t xml:space="preserve">“</w:t>
      </w:r>
      <w:r>
        <w:t xml:space="preserve">Tools/Settings</w:t>
      </w:r>
      <w:r>
        <w:t xml:space="preserve">”</w:t>
      </w:r>
      <w:r>
        <w:t xml:space="preserve"> </w:t>
      </w:r>
      <w:r>
        <w:t xml:space="preserve">panel.</w:t>
      </w:r>
    </w:p>
    <w:p>
      <w:pPr>
        <w:numPr>
          <w:ilvl w:val="0"/>
          <w:numId w:val="1003"/>
        </w:numPr>
        <w:pStyle w:val="Compact"/>
      </w:pPr>
      <w:r>
        <w:t xml:space="preserve">Drag-and-drop, sliders, toggles for configuration where possible.</w:t>
      </w:r>
    </w:p>
    <w:p>
      <w:pPr>
        <w:numPr>
          <w:ilvl w:val="0"/>
          <w:numId w:val="1003"/>
        </w:numPr>
        <w:pStyle w:val="Compact"/>
      </w:pPr>
      <w:r>
        <w:t xml:space="preserve">Shared documentation/help panels with AI-assisted troubleshooting (future option).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and-compliance"/>
    <w:p>
      <w:pPr>
        <w:pStyle w:val="Heading2"/>
      </w:pPr>
      <w:r>
        <w:t xml:space="preserve">5. Security and Compliance</w:t>
      </w:r>
    </w:p>
    <w:p>
      <w:pPr>
        <w:numPr>
          <w:ilvl w:val="0"/>
          <w:numId w:val="1004"/>
        </w:numPr>
        <w:pStyle w:val="Compact"/>
      </w:pPr>
      <w:r>
        <w:t xml:space="preserve">Standard security practices: nonces, honeypots, sanitization, escaping.</w:t>
      </w:r>
    </w:p>
    <w:p>
      <w:pPr>
        <w:numPr>
          <w:ilvl w:val="0"/>
          <w:numId w:val="1004"/>
        </w:numPr>
        <w:pStyle w:val="Compact"/>
      </w:pPr>
      <w:r>
        <w:t xml:space="preserve">Encryption for sensitive data.</w:t>
      </w:r>
    </w:p>
    <w:p>
      <w:pPr>
        <w:numPr>
          <w:ilvl w:val="0"/>
          <w:numId w:val="1004"/>
        </w:numPr>
        <w:pStyle w:val="Compact"/>
      </w:pPr>
      <w:r>
        <w:t xml:space="preserve">Compliance with GDPR/CCPA for user data collection.</w:t>
      </w:r>
    </w:p>
    <w:p>
      <w:pPr>
        <w:numPr>
          <w:ilvl w:val="0"/>
          <w:numId w:val="1004"/>
        </w:numPr>
        <w:pStyle w:val="Compact"/>
      </w:pPr>
      <w:r>
        <w:t xml:space="preserve">Strict coding standards (WordPress CS, PSR-4, PHPCS, PHPStan).</w:t>
      </w:r>
    </w:p>
    <w:p>
      <w:r>
        <w:pict>
          <v:rect style="width:0;height:1.5pt" o:hralign="center" o:hrstd="t" o:hr="t"/>
        </w:pict>
      </w:r>
    </w:p>
    <w:bookmarkEnd w:id="25"/>
    <w:bookmarkStart w:id="26" w:name="folder-code-standards"/>
    <w:p>
      <w:pPr>
        <w:pStyle w:val="Heading2"/>
      </w:pPr>
      <w:r>
        <w:t xml:space="preserve">6. Folder &amp; Code Standards</w:t>
      </w:r>
    </w:p>
    <w:p>
      <w:pPr>
        <w:numPr>
          <w:ilvl w:val="0"/>
          <w:numId w:val="1005"/>
        </w:numPr>
        <w:pStyle w:val="Compact"/>
      </w:pPr>
      <w:r>
        <w:t xml:space="preserve">Common folder structure: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 etc.</w:t>
      </w:r>
    </w:p>
    <w:p>
      <w:pPr>
        <w:numPr>
          <w:ilvl w:val="0"/>
          <w:numId w:val="1005"/>
        </w:numPr>
        <w:pStyle w:val="Compact"/>
      </w:pPr>
      <w:r>
        <w:t xml:space="preserve">Shared SCSS with consistent naming conventions.</w:t>
      </w:r>
    </w:p>
    <w:p>
      <w:pPr>
        <w:numPr>
          <w:ilvl w:val="0"/>
          <w:numId w:val="1005"/>
        </w:numPr>
        <w:pStyle w:val="Compact"/>
      </w:pPr>
      <w:r>
        <w:t xml:space="preserve">Boxed comment format (SATORI standard).</w:t>
      </w:r>
    </w:p>
    <w:p>
      <w:pPr>
        <w:numPr>
          <w:ilvl w:val="0"/>
          <w:numId w:val="1005"/>
        </w:numPr>
        <w:pStyle w:val="Compact"/>
      </w:pPr>
      <w:r>
        <w:t xml:space="preserve">All modules autoload via SATORI Core, no duplicate code.</w:t>
      </w:r>
    </w:p>
    <w:p>
      <w:r>
        <w:pict>
          <v:rect style="width:0;height:1.5pt" o:hralign="center" o:hrstd="t" o:hr="t"/>
        </w:pict>
      </w:r>
    </w:p>
    <w:bookmarkEnd w:id="26"/>
    <w:bookmarkStart w:id="27" w:name="licensing-updates"/>
    <w:p>
      <w:pPr>
        <w:pStyle w:val="Heading2"/>
      </w:pPr>
      <w:r>
        <w:t xml:space="preserve">7. Licensing &amp; Updates</w:t>
      </w:r>
    </w:p>
    <w:p>
      <w:pPr>
        <w:numPr>
          <w:ilvl w:val="0"/>
          <w:numId w:val="1006"/>
        </w:numPr>
        <w:pStyle w:val="Compact"/>
      </w:pPr>
      <w:r>
        <w:t xml:space="preserve">All plugins include</w:t>
      </w:r>
      <w:r>
        <w:t xml:space="preserve"> </w:t>
      </w:r>
      <w:r>
        <w:rPr>
          <w:rStyle w:val="VerbatimChar"/>
        </w:rPr>
        <w:t xml:space="preserve">Update URI</w:t>
      </w:r>
      <w:r>
        <w:t xml:space="preserve"> </w:t>
      </w:r>
      <w:r>
        <w:t xml:space="preserve">pointing to</w:t>
      </w:r>
      <w:r>
        <w:t xml:space="preserve"> </w:t>
      </w:r>
      <w:r>
        <w:rPr>
          <w:bCs/>
          <w:b/>
        </w:rPr>
        <w:t xml:space="preserve">updates.wordpressed.com.au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Update server returns JSON with version, package URL, and changelog.</w:t>
      </w:r>
    </w:p>
    <w:p>
      <w:pPr>
        <w:numPr>
          <w:ilvl w:val="0"/>
          <w:numId w:val="1006"/>
        </w:numPr>
        <w:pStyle w:val="Compact"/>
      </w:pPr>
      <w:r>
        <w:t xml:space="preserve">Licensing enforced for PRO/Enterprise with key validation.</w:t>
      </w:r>
    </w:p>
    <w:p>
      <w:pPr>
        <w:numPr>
          <w:ilvl w:val="0"/>
          <w:numId w:val="1006"/>
        </w:numPr>
        <w:pStyle w:val="Compact"/>
      </w:pPr>
      <w:r>
        <w:t xml:space="preserve">Native WP update notifications triggered via</w:t>
      </w:r>
      <w:r>
        <w:t xml:space="preserve"> </w:t>
      </w:r>
      <w:r>
        <w:rPr>
          <w:rStyle w:val="VerbatimChar"/>
        </w:rPr>
        <w:t xml:space="preserve">pre_set_site_transient_update_plugins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Rollback/delta updates on roadmap.</w:t>
      </w:r>
    </w:p>
    <w:p>
      <w:r>
        <w:pict>
          <v:rect style="width:0;height:1.5pt" o:hralign="center" o:hrstd="t" o:hr="t"/>
        </w:pict>
      </w:r>
    </w:p>
    <w:bookmarkEnd w:id="27"/>
    <w:bookmarkStart w:id="28" w:name="integration-strategy"/>
    <w:p>
      <w:pPr>
        <w:pStyle w:val="Heading2"/>
      </w:pPr>
      <w:r>
        <w:t xml:space="preserve">8. Integration Strategy</w:t>
      </w:r>
    </w:p>
    <w:p>
      <w:pPr>
        <w:numPr>
          <w:ilvl w:val="0"/>
          <w:numId w:val="1007"/>
        </w:numPr>
        <w:pStyle w:val="Compact"/>
      </w:pPr>
      <w:r>
        <w:t xml:space="preserve">Modules integrate seamlessly with each other through shared hooks.</w:t>
      </w:r>
    </w:p>
    <w:p>
      <w:pPr>
        <w:numPr>
          <w:ilvl w:val="0"/>
          <w:numId w:val="1007"/>
        </w:numPr>
        <w:pStyle w:val="Compact"/>
      </w:pPr>
      <w:r>
        <w:t xml:space="preserve">Example: Forms → Members, Events → Reports, Payments → Members.</w:t>
      </w:r>
    </w:p>
    <w:p>
      <w:pPr>
        <w:numPr>
          <w:ilvl w:val="0"/>
          <w:numId w:val="1007"/>
        </w:numPr>
        <w:pStyle w:val="Compact"/>
      </w:pPr>
      <w:r>
        <w:t xml:space="preserve">Optional modules (Tables, Folders) act as shared infrastructure for Reports, Media, etc.</w:t>
      </w:r>
    </w:p>
    <w:p>
      <w:pPr>
        <w:numPr>
          <w:ilvl w:val="0"/>
          <w:numId w:val="1007"/>
        </w:numPr>
        <w:pStyle w:val="Compact"/>
      </w:pPr>
      <w:r>
        <w:t xml:space="preserve">External integrations (Stripe, ACF, Pods) standardized.</w:t>
      </w:r>
    </w:p>
    <w:p>
      <w:r>
        <w:pict>
          <v:rect style="width:0;height:1.5pt" o:hralign="center" o:hrstd="t" o:hr="t"/>
        </w:pict>
      </w:r>
    </w:p>
    <w:bookmarkEnd w:id="28"/>
    <w:bookmarkStart w:id="29" w:name="appendix-a-known-gaps-to-do-later"/>
    <w:p>
      <w:pPr>
        <w:pStyle w:val="Heading2"/>
      </w:pPr>
      <w:r>
        <w:t xml:space="preserve">Appendix A — Known Gaps / To Do Later</w:t>
      </w:r>
    </w:p>
    <w:p>
      <w:pPr>
        <w:numPr>
          <w:ilvl w:val="0"/>
          <w:numId w:val="1008"/>
        </w:numPr>
        <w:pStyle w:val="Compact"/>
      </w:pPr>
      <w:r>
        <w:t xml:space="preserve">Branding guidelines finalisation.</w:t>
      </w:r>
    </w:p>
    <w:p>
      <w:pPr>
        <w:numPr>
          <w:ilvl w:val="0"/>
          <w:numId w:val="1008"/>
        </w:numPr>
        <w:pStyle w:val="Compact"/>
      </w:pPr>
      <w:r>
        <w:t xml:space="preserve">DevOps automation (releases, hashes, CI/CD).</w:t>
      </w:r>
    </w:p>
    <w:p>
      <w:pPr>
        <w:numPr>
          <w:ilvl w:val="0"/>
          <w:numId w:val="1008"/>
        </w:numPr>
        <w:pStyle w:val="Compact"/>
      </w:pPr>
      <w:r>
        <w:t xml:space="preserve">Extended integrations (Google Drive, OneDrive).</w:t>
      </w:r>
    </w:p>
    <w:p>
      <w:pPr>
        <w:numPr>
          <w:ilvl w:val="0"/>
          <w:numId w:val="1008"/>
        </w:numPr>
        <w:pStyle w:val="Compact"/>
      </w:pPr>
      <w:r>
        <w:t xml:space="preserve">AI-assisted support/help widget.</w:t>
      </w:r>
    </w:p>
    <w:p>
      <w:pPr>
        <w:numPr>
          <w:ilvl w:val="0"/>
          <w:numId w:val="1008"/>
        </w:numPr>
        <w:pStyle w:val="Compact"/>
      </w:pPr>
      <w:r>
        <w:t xml:space="preserve">Full SATORI WP Theme.</w:t>
      </w:r>
    </w:p>
    <w:p>
      <w:r>
        <w:pict>
          <v:rect style="width:0;height:1.5pt" o:hralign="center" o:hrstd="t" o:hr="t"/>
        </w:pict>
      </w:r>
    </w:p>
    <w:bookmarkEnd w:id="29"/>
    <w:bookmarkStart w:id="30" w:name="appendix-b-milestone-reminders"/>
    <w:p>
      <w:pPr>
        <w:pStyle w:val="Heading2"/>
      </w:pPr>
      <w:r>
        <w:t xml:space="preserve">Appendix B — Milestone Reminders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Phase 2 (Monetization &amp; Memberships):</w:t>
      </w:r>
      <w:r>
        <w:t xml:space="preserve"> </w:t>
      </w:r>
      <w:r>
        <w:t xml:space="preserve">Prepare and export a downloadable PDF</w:t>
      </w:r>
      <w:r>
        <w:t xml:space="preserve"> </w:t>
      </w:r>
      <w:r>
        <w:t xml:space="preserve">“</w:t>
      </w:r>
      <w:r>
        <w:t xml:space="preserve">Roadmap Pack</w:t>
      </w:r>
      <w:r>
        <w:t xml:space="preserve">”</w:t>
      </w:r>
      <w:r>
        <w:t xml:space="preserve"> </w:t>
      </w:r>
      <w:r>
        <w:t xml:space="preserve">with timeline graphics, descriptions, and known gaps.</w:t>
      </w:r>
    </w:p>
    <w:p>
      <w:r>
        <w:pict>
          <v:rect style="width:0;height:1.5pt" o:hralign="center" o:hrstd="t" o:hr="t"/>
        </w:pict>
      </w:r>
    </w:p>
    <w:bookmarkEnd w:id="30"/>
    <w:bookmarkStart w:id="31" w:name="appendix-c-distribution-architecture"/>
    <w:p>
      <w:pPr>
        <w:pStyle w:val="Heading2"/>
      </w:pPr>
      <w:r>
        <w:t xml:space="preserve">Appendix C — Distribution Architecture</w:t>
      </w:r>
    </w:p>
    <w:p>
      <w:pPr>
        <w:pStyle w:val="FirstParagraph"/>
      </w:pPr>
      <w:r>
        <w:t xml:space="preserve">Visual diagram showing the relationship between: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wordpressed.com.au</w:t>
      </w:r>
      <w:r>
        <w:t xml:space="preserve"> </w:t>
      </w:r>
      <w:r>
        <w:t xml:space="preserve">→ Storefront, Licensing, Update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satori.com.au</w:t>
      </w:r>
      <w:r>
        <w:t xml:space="preserve"> </w:t>
      </w:r>
      <w:r>
        <w:t xml:space="preserve">→ Services, consulting, upsells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WP Sites</w:t>
      </w:r>
      <w:r>
        <w:t xml:space="preserve"> </w:t>
      </w:r>
      <w:r>
        <w:t xml:space="preserve">→ Running SATORI Core + modules</w:t>
      </w:r>
    </w:p>
    <w:p>
      <w:pPr>
        <w:pStyle w:val="BodyText"/>
      </w:pPr>
      <w:r>
        <w:t xml:space="preserve">See accompanying</w:t>
      </w:r>
      <w:r>
        <w:t xml:space="preserve"> </w:t>
      </w:r>
      <w:r>
        <w:rPr>
          <w:rStyle w:val="VerbatimChar"/>
        </w:rPr>
        <w:t xml:space="preserve">satori_distribution_architecture.png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2025-08-19T04:07:44Z</dcterms:created>
  <dcterms:modified xsi:type="dcterms:W3CDTF">2025-08-19T04:07:44Z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